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D1E06" w14:textId="77777777" w:rsidR="00A55A77" w:rsidRDefault="00A55A77" w:rsidP="004E1A04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Chapter Two</w:t>
      </w:r>
    </w:p>
    <w:p w14:paraId="7285C6AF" w14:textId="77777777" w:rsidR="00A55A77" w:rsidRDefault="00A55A77" w:rsidP="004E1A0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Gross Income and Exclusions</w:t>
      </w:r>
    </w:p>
    <w:p w14:paraId="1124271B" w14:textId="245F2D41" w:rsidR="00906912" w:rsidRDefault="00906912" w:rsidP="004E1A0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842E4">
        <w:rPr>
          <w:b/>
          <w:bCs/>
          <w:sz w:val="28"/>
          <w:szCs w:val="28"/>
        </w:rPr>
        <w:t>20</w:t>
      </w:r>
    </w:p>
    <w:p w14:paraId="32FCF048" w14:textId="77777777" w:rsidR="00A55A77" w:rsidRDefault="00A55A77" w:rsidP="004E1A04">
      <w:pPr>
        <w:rPr>
          <w:b/>
          <w:bCs/>
          <w:sz w:val="24"/>
          <w:szCs w:val="24"/>
          <w:u w:val="single"/>
        </w:rPr>
      </w:pPr>
    </w:p>
    <w:p w14:paraId="46D87C71" w14:textId="0791113F" w:rsidR="00A55A77" w:rsidRPr="00F76477" w:rsidRDefault="004548CF" w:rsidP="004E1A0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</w:t>
      </w:r>
      <w:r w:rsidR="00A55A77">
        <w:rPr>
          <w:b/>
          <w:bCs/>
          <w:sz w:val="24"/>
          <w:szCs w:val="24"/>
          <w:u w:val="single"/>
        </w:rPr>
        <w:t xml:space="preserve"> 2.1</w:t>
      </w:r>
      <w:r w:rsidR="00A55A77">
        <w:rPr>
          <w:b/>
          <w:bCs/>
          <w:sz w:val="24"/>
          <w:szCs w:val="24"/>
          <w:u w:val="single"/>
        </w:rPr>
        <w:tab/>
        <w:t>The Nature of Gross Income</w:t>
      </w:r>
    </w:p>
    <w:p w14:paraId="7A2AE73E" w14:textId="77777777" w:rsidR="00A55A77" w:rsidRDefault="00A55A77" w:rsidP="004E1A04">
      <w:pPr>
        <w:rPr>
          <w:sz w:val="24"/>
          <w:szCs w:val="24"/>
        </w:rPr>
      </w:pPr>
      <w:r>
        <w:rPr>
          <w:sz w:val="24"/>
          <w:szCs w:val="24"/>
        </w:rPr>
        <w:t>Gross income is the initial point of tax computation</w:t>
      </w:r>
      <w:r w:rsidR="00B12954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is composed of the following items:</w:t>
      </w:r>
    </w:p>
    <w:p w14:paraId="5AF640D0" w14:textId="77777777" w:rsidR="00A55A77" w:rsidRDefault="00A55A77" w:rsidP="004E1A04">
      <w:pPr>
        <w:numPr>
          <w:ilvl w:val="0"/>
          <w:numId w:val="1"/>
        </w:numPr>
        <w:tabs>
          <w:tab w:val="left" w:pos="144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Compensation for services, including fees, commissions, fringe benefits, and similar items</w:t>
      </w:r>
    </w:p>
    <w:p w14:paraId="34215F2E" w14:textId="77777777" w:rsidR="00A55A77" w:rsidRDefault="00A55A77" w:rsidP="004E1A04">
      <w:pPr>
        <w:numPr>
          <w:ilvl w:val="0"/>
          <w:numId w:val="2"/>
        </w:numPr>
        <w:tabs>
          <w:tab w:val="left" w:pos="144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Gross income derived from business</w:t>
      </w:r>
    </w:p>
    <w:p w14:paraId="7F4D2599" w14:textId="77777777" w:rsidR="00A55A77" w:rsidRDefault="00A55A77" w:rsidP="004E1A04">
      <w:pPr>
        <w:numPr>
          <w:ilvl w:val="0"/>
          <w:numId w:val="3"/>
        </w:numPr>
        <w:tabs>
          <w:tab w:val="left" w:pos="144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Gains derived from dealings in property</w:t>
      </w:r>
    </w:p>
    <w:p w14:paraId="4DA86022" w14:textId="77777777" w:rsidR="00A55A77" w:rsidRDefault="00A55A77" w:rsidP="004E1A04">
      <w:pPr>
        <w:numPr>
          <w:ilvl w:val="0"/>
          <w:numId w:val="4"/>
        </w:numPr>
        <w:tabs>
          <w:tab w:val="left" w:pos="144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Interest</w:t>
      </w:r>
    </w:p>
    <w:p w14:paraId="4F7CD470" w14:textId="77777777" w:rsidR="00A55A77" w:rsidRDefault="00A55A77" w:rsidP="004E1A04">
      <w:pPr>
        <w:numPr>
          <w:ilvl w:val="0"/>
          <w:numId w:val="5"/>
        </w:numPr>
        <w:tabs>
          <w:tab w:val="left" w:pos="144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Rents</w:t>
      </w:r>
    </w:p>
    <w:p w14:paraId="02EEAF99" w14:textId="77777777" w:rsidR="00A55A77" w:rsidRDefault="00A55A77" w:rsidP="004E1A04">
      <w:pPr>
        <w:numPr>
          <w:ilvl w:val="0"/>
          <w:numId w:val="6"/>
        </w:numPr>
        <w:tabs>
          <w:tab w:val="left" w:pos="144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Royalties</w:t>
      </w:r>
    </w:p>
    <w:p w14:paraId="19D32B12" w14:textId="77777777" w:rsidR="00A55A77" w:rsidRDefault="00A55A77" w:rsidP="004E1A04">
      <w:pPr>
        <w:numPr>
          <w:ilvl w:val="0"/>
          <w:numId w:val="7"/>
        </w:numPr>
        <w:tabs>
          <w:tab w:val="left" w:pos="144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Dividends</w:t>
      </w:r>
    </w:p>
    <w:p w14:paraId="7B46F3C5" w14:textId="77777777" w:rsidR="00A55A77" w:rsidRDefault="00A55A77" w:rsidP="004E1A04">
      <w:pPr>
        <w:numPr>
          <w:ilvl w:val="0"/>
          <w:numId w:val="9"/>
        </w:numPr>
        <w:tabs>
          <w:tab w:val="left" w:pos="144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Annuities</w:t>
      </w:r>
    </w:p>
    <w:p w14:paraId="6C02D7DB" w14:textId="77777777" w:rsidR="00A55A77" w:rsidRDefault="00A55A77" w:rsidP="004E1A04">
      <w:pPr>
        <w:numPr>
          <w:ilvl w:val="0"/>
          <w:numId w:val="10"/>
        </w:numPr>
        <w:tabs>
          <w:tab w:val="left" w:pos="144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Income from life insurance and endowment</w:t>
      </w:r>
      <w:r w:rsidR="00F76477">
        <w:rPr>
          <w:sz w:val="24"/>
          <w:szCs w:val="24"/>
        </w:rPr>
        <w:t xml:space="preserve"> contract</w:t>
      </w:r>
      <w:r>
        <w:rPr>
          <w:sz w:val="24"/>
          <w:szCs w:val="24"/>
        </w:rPr>
        <w:t>s</w:t>
      </w:r>
    </w:p>
    <w:p w14:paraId="441FE02C" w14:textId="77777777" w:rsidR="00A55A77" w:rsidRDefault="00A55A77" w:rsidP="004E1A04">
      <w:pPr>
        <w:numPr>
          <w:ilvl w:val="0"/>
          <w:numId w:val="11"/>
        </w:numPr>
        <w:tabs>
          <w:tab w:val="left" w:pos="144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Pensions</w:t>
      </w:r>
    </w:p>
    <w:p w14:paraId="15E7DC51" w14:textId="77777777" w:rsidR="00A55A77" w:rsidRDefault="00A55A77" w:rsidP="004E1A04">
      <w:pPr>
        <w:numPr>
          <w:ilvl w:val="0"/>
          <w:numId w:val="12"/>
        </w:numPr>
        <w:tabs>
          <w:tab w:val="left" w:pos="144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Income from discharge of indebtedness</w:t>
      </w:r>
    </w:p>
    <w:p w14:paraId="7AFBCB37" w14:textId="77777777" w:rsidR="00A55A77" w:rsidRDefault="00A55A77" w:rsidP="004E1A04">
      <w:pPr>
        <w:numPr>
          <w:ilvl w:val="0"/>
          <w:numId w:val="13"/>
        </w:numPr>
        <w:tabs>
          <w:tab w:val="left" w:pos="144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Distributive share of partnership gross income</w:t>
      </w:r>
    </w:p>
    <w:p w14:paraId="28AFFB3D" w14:textId="77777777" w:rsidR="00A55A77" w:rsidRDefault="00A55A77" w:rsidP="004E1A04">
      <w:pPr>
        <w:numPr>
          <w:ilvl w:val="0"/>
          <w:numId w:val="14"/>
        </w:numPr>
        <w:tabs>
          <w:tab w:val="left" w:pos="144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Income in respect of a decedent </w:t>
      </w:r>
    </w:p>
    <w:p w14:paraId="02460930" w14:textId="77777777" w:rsidR="00A55A77" w:rsidRDefault="00A55A77" w:rsidP="004E1A04">
      <w:pPr>
        <w:numPr>
          <w:ilvl w:val="0"/>
          <w:numId w:val="15"/>
        </w:numPr>
        <w:tabs>
          <w:tab w:val="left" w:pos="1440"/>
        </w:tabs>
        <w:ind w:left="720" w:hanging="360"/>
        <w:rPr>
          <w:sz w:val="24"/>
          <w:szCs w:val="24"/>
        </w:rPr>
      </w:pPr>
      <w:r>
        <w:rPr>
          <w:sz w:val="24"/>
          <w:szCs w:val="24"/>
        </w:rPr>
        <w:t>Income from an interest in an estate or trust</w:t>
      </w:r>
    </w:p>
    <w:p w14:paraId="53DB287D" w14:textId="77777777" w:rsidR="0002121E" w:rsidRDefault="0002121E" w:rsidP="004E1A04">
      <w:pPr>
        <w:rPr>
          <w:sz w:val="24"/>
          <w:szCs w:val="24"/>
        </w:rPr>
      </w:pPr>
    </w:p>
    <w:p w14:paraId="19AD2A24" w14:textId="77777777" w:rsidR="003F7085" w:rsidRDefault="00A55A77" w:rsidP="004E1A04">
      <w:pPr>
        <w:rPr>
          <w:sz w:val="24"/>
          <w:szCs w:val="24"/>
        </w:rPr>
      </w:pPr>
      <w:r>
        <w:rPr>
          <w:sz w:val="24"/>
          <w:szCs w:val="24"/>
        </w:rPr>
        <w:t xml:space="preserve">The general rule is that </w:t>
      </w:r>
      <w:r w:rsidR="00506E82">
        <w:rPr>
          <w:sz w:val="24"/>
          <w:szCs w:val="24"/>
        </w:rPr>
        <w:t>“</w:t>
      </w:r>
      <w:r w:rsidR="00506E82" w:rsidRPr="004E1A04">
        <w:rPr>
          <w:sz w:val="24"/>
          <w:szCs w:val="24"/>
        </w:rPr>
        <w:t>all income from whatever source derived”</w:t>
      </w:r>
      <w:r w:rsidR="00506E82">
        <w:rPr>
          <w:sz w:val="24"/>
          <w:szCs w:val="24"/>
        </w:rPr>
        <w:t xml:space="preserve"> </w:t>
      </w:r>
      <w:r>
        <w:rPr>
          <w:sz w:val="24"/>
          <w:szCs w:val="24"/>
        </w:rPr>
        <w:t>must be included in gross income unless sp</w:t>
      </w:r>
      <w:r w:rsidR="0002121E">
        <w:rPr>
          <w:sz w:val="24"/>
          <w:szCs w:val="24"/>
        </w:rPr>
        <w:t xml:space="preserve">ecifically </w:t>
      </w:r>
      <w:r>
        <w:rPr>
          <w:sz w:val="24"/>
          <w:szCs w:val="24"/>
        </w:rPr>
        <w:t xml:space="preserve">excluded.  </w:t>
      </w:r>
    </w:p>
    <w:p w14:paraId="233672AF" w14:textId="320F6B0E" w:rsidR="00B12954" w:rsidRDefault="00A55A77" w:rsidP="004E1A04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3F7085">
        <w:rPr>
          <w:sz w:val="24"/>
          <w:szCs w:val="24"/>
        </w:rPr>
        <w:t xml:space="preserve">Noncash items should be reported at </w:t>
      </w:r>
      <w:r w:rsidR="00380373">
        <w:rPr>
          <w:sz w:val="24"/>
          <w:szCs w:val="24"/>
        </w:rPr>
        <w:t>the</w:t>
      </w:r>
      <w:r w:rsidRPr="003F7085">
        <w:rPr>
          <w:sz w:val="24"/>
          <w:szCs w:val="24"/>
        </w:rPr>
        <w:t xml:space="preserve"> fair market value.  </w:t>
      </w:r>
    </w:p>
    <w:p w14:paraId="335C9F67" w14:textId="4DA04EAA" w:rsidR="00B715E9" w:rsidRDefault="00B715E9" w:rsidP="004E1A0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 comprehensive list of inclusions can be found in Table 2.1</w:t>
      </w:r>
      <w:r w:rsidR="003B65D6">
        <w:rPr>
          <w:sz w:val="24"/>
          <w:szCs w:val="24"/>
        </w:rPr>
        <w:t>.</w:t>
      </w:r>
    </w:p>
    <w:p w14:paraId="7ADA619D" w14:textId="5F32120D" w:rsidR="00A55A77" w:rsidRDefault="00317791" w:rsidP="004E1A0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Specific exclusions can</w:t>
      </w:r>
      <w:r w:rsidR="00A32AB4">
        <w:rPr>
          <w:sz w:val="24"/>
          <w:szCs w:val="24"/>
        </w:rPr>
        <w:t xml:space="preserve"> </w:t>
      </w:r>
      <w:r w:rsidR="00506E82" w:rsidRPr="003F7085">
        <w:rPr>
          <w:sz w:val="24"/>
          <w:szCs w:val="24"/>
        </w:rPr>
        <w:t>be found in Table 2.2.</w:t>
      </w:r>
    </w:p>
    <w:p w14:paraId="6E02D1BD" w14:textId="77777777" w:rsidR="00906912" w:rsidRPr="00906912" w:rsidRDefault="00906912" w:rsidP="004E1A04">
      <w:pPr>
        <w:rPr>
          <w:sz w:val="24"/>
          <w:szCs w:val="24"/>
        </w:rPr>
      </w:pPr>
    </w:p>
    <w:p w14:paraId="4CE701DE" w14:textId="6DBC0084" w:rsidR="00317791" w:rsidRDefault="00906912" w:rsidP="004E1A04">
      <w:pPr>
        <w:keepNext/>
        <w:jc w:val="both"/>
        <w:rPr>
          <w:b/>
          <w:bCs/>
          <w:sz w:val="24"/>
          <w:szCs w:val="24"/>
          <w:u w:val="single"/>
        </w:rPr>
      </w:pPr>
      <w:r w:rsidRPr="00906912">
        <w:rPr>
          <w:b/>
          <w:bCs/>
          <w:sz w:val="24"/>
          <w:szCs w:val="24"/>
          <w:u w:val="single"/>
        </w:rPr>
        <w:t>Learning Objective 2.</w:t>
      </w:r>
      <w:r>
        <w:rPr>
          <w:b/>
          <w:bCs/>
          <w:sz w:val="24"/>
          <w:szCs w:val="24"/>
          <w:u w:val="single"/>
        </w:rPr>
        <w:t>2</w:t>
      </w:r>
      <w:r w:rsidRPr="00906912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 xml:space="preserve">Salaries </w:t>
      </w:r>
      <w:r w:rsidR="00380373">
        <w:rPr>
          <w:b/>
          <w:bCs/>
          <w:sz w:val="24"/>
          <w:szCs w:val="24"/>
          <w:u w:val="single"/>
        </w:rPr>
        <w:t>and</w:t>
      </w:r>
      <w:r>
        <w:rPr>
          <w:b/>
          <w:bCs/>
          <w:sz w:val="24"/>
          <w:szCs w:val="24"/>
          <w:u w:val="single"/>
        </w:rPr>
        <w:t xml:space="preserve"> Wages</w:t>
      </w:r>
    </w:p>
    <w:p w14:paraId="553F7963" w14:textId="606CBE0A" w:rsidR="00317791" w:rsidRPr="004E1A04" w:rsidRDefault="00317791" w:rsidP="004E1A04">
      <w:pPr>
        <w:keepNext/>
        <w:jc w:val="both"/>
        <w:rPr>
          <w:bCs/>
          <w:sz w:val="24"/>
          <w:szCs w:val="24"/>
        </w:rPr>
      </w:pPr>
      <w:r w:rsidRPr="004E1A04">
        <w:rPr>
          <w:bCs/>
          <w:sz w:val="24"/>
          <w:szCs w:val="24"/>
        </w:rPr>
        <w:t xml:space="preserve">Wages are </w:t>
      </w:r>
      <w:r w:rsidR="00380373">
        <w:rPr>
          <w:bCs/>
          <w:sz w:val="24"/>
          <w:szCs w:val="24"/>
        </w:rPr>
        <w:t xml:space="preserve">the </w:t>
      </w:r>
      <w:r w:rsidRPr="004E1A04">
        <w:rPr>
          <w:bCs/>
          <w:sz w:val="24"/>
          <w:szCs w:val="24"/>
        </w:rPr>
        <w:t xml:space="preserve">primary way of earning income in </w:t>
      </w:r>
      <w:r w:rsidR="00380373">
        <w:rPr>
          <w:bCs/>
          <w:sz w:val="24"/>
          <w:szCs w:val="24"/>
        </w:rPr>
        <w:t xml:space="preserve">the </w:t>
      </w:r>
      <w:r w:rsidRPr="004E1A04">
        <w:rPr>
          <w:bCs/>
          <w:sz w:val="24"/>
          <w:szCs w:val="24"/>
        </w:rPr>
        <w:t>U</w:t>
      </w:r>
      <w:r w:rsidR="00380373">
        <w:rPr>
          <w:bCs/>
          <w:sz w:val="24"/>
          <w:szCs w:val="24"/>
        </w:rPr>
        <w:t xml:space="preserve">nited </w:t>
      </w:r>
      <w:r w:rsidRPr="004E1A04">
        <w:rPr>
          <w:bCs/>
          <w:sz w:val="24"/>
          <w:szCs w:val="24"/>
        </w:rPr>
        <w:t>S</w:t>
      </w:r>
      <w:r w:rsidR="00380373">
        <w:rPr>
          <w:bCs/>
          <w:sz w:val="24"/>
          <w:szCs w:val="24"/>
        </w:rPr>
        <w:t>tates</w:t>
      </w:r>
      <w:r w:rsidRPr="004E1A04">
        <w:rPr>
          <w:bCs/>
          <w:sz w:val="24"/>
          <w:szCs w:val="24"/>
        </w:rPr>
        <w:t>.</w:t>
      </w:r>
    </w:p>
    <w:p w14:paraId="0D57A82D" w14:textId="05B8C198" w:rsidR="00BD6478" w:rsidRDefault="00BD6478" w:rsidP="004E1A04">
      <w:pPr>
        <w:pStyle w:val="ListParagraph"/>
        <w:keepNext/>
        <w:numPr>
          <w:ilvl w:val="0"/>
          <w:numId w:val="4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More than 80% of taxpayers include some amount for wages</w:t>
      </w:r>
      <w:r w:rsidR="003B65D6">
        <w:rPr>
          <w:bCs/>
          <w:sz w:val="24"/>
          <w:szCs w:val="24"/>
        </w:rPr>
        <w:t>.</w:t>
      </w:r>
    </w:p>
    <w:p w14:paraId="7F20BFB3" w14:textId="77DA3C89" w:rsidR="00317791" w:rsidRDefault="00852863" w:rsidP="004E1A04">
      <w:pPr>
        <w:pStyle w:val="ListParagraph"/>
        <w:keepNext/>
        <w:numPr>
          <w:ilvl w:val="0"/>
          <w:numId w:val="4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Employers r</w:t>
      </w:r>
      <w:r w:rsidR="00317791">
        <w:rPr>
          <w:bCs/>
          <w:sz w:val="24"/>
          <w:szCs w:val="24"/>
        </w:rPr>
        <w:t>eport</w:t>
      </w:r>
      <w:r>
        <w:rPr>
          <w:bCs/>
          <w:sz w:val="24"/>
          <w:szCs w:val="24"/>
        </w:rPr>
        <w:t xml:space="preserve"> wages</w:t>
      </w:r>
      <w:r w:rsidR="00317791">
        <w:rPr>
          <w:bCs/>
          <w:sz w:val="24"/>
          <w:szCs w:val="24"/>
        </w:rPr>
        <w:t xml:space="preserve"> on Form W-2, and employee</w:t>
      </w:r>
      <w:r>
        <w:rPr>
          <w:bCs/>
          <w:sz w:val="24"/>
          <w:szCs w:val="24"/>
        </w:rPr>
        <w:t>s</w:t>
      </w:r>
      <w:r w:rsidR="00317791">
        <w:rPr>
          <w:bCs/>
          <w:sz w:val="24"/>
          <w:szCs w:val="24"/>
        </w:rPr>
        <w:t xml:space="preserve"> report</w:t>
      </w:r>
      <w:r>
        <w:rPr>
          <w:bCs/>
          <w:sz w:val="24"/>
          <w:szCs w:val="24"/>
        </w:rPr>
        <w:t xml:space="preserve"> the amount in</w:t>
      </w:r>
      <w:r w:rsidR="00317791">
        <w:rPr>
          <w:bCs/>
          <w:sz w:val="24"/>
          <w:szCs w:val="24"/>
        </w:rPr>
        <w:t xml:space="preserve"> Box 1 on Line 1 of Form 1040</w:t>
      </w:r>
      <w:r>
        <w:rPr>
          <w:bCs/>
          <w:sz w:val="24"/>
          <w:szCs w:val="24"/>
        </w:rPr>
        <w:t>.</w:t>
      </w:r>
    </w:p>
    <w:p w14:paraId="40B011E2" w14:textId="44762B93" w:rsidR="00A02878" w:rsidRDefault="00A02878" w:rsidP="004E1A04">
      <w:pPr>
        <w:pStyle w:val="ListParagraph"/>
        <w:keepNext/>
        <w:numPr>
          <w:ilvl w:val="1"/>
          <w:numId w:val="4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Boxes 2 through 12 </w:t>
      </w:r>
      <w:r w:rsidR="00852863">
        <w:rPr>
          <w:bCs/>
          <w:sz w:val="24"/>
          <w:szCs w:val="24"/>
        </w:rPr>
        <w:t xml:space="preserve">are </w:t>
      </w:r>
      <w:r>
        <w:rPr>
          <w:bCs/>
          <w:sz w:val="24"/>
          <w:szCs w:val="24"/>
        </w:rPr>
        <w:t>used to record other types of wages, tips, and compensation</w:t>
      </w:r>
      <w:r w:rsidR="00C1263A">
        <w:rPr>
          <w:bCs/>
          <w:sz w:val="24"/>
          <w:szCs w:val="24"/>
        </w:rPr>
        <w:t>.</w:t>
      </w:r>
    </w:p>
    <w:p w14:paraId="26673615" w14:textId="04728185" w:rsidR="00317791" w:rsidRDefault="00317791" w:rsidP="004E1A04">
      <w:pPr>
        <w:pStyle w:val="ListParagraph"/>
        <w:keepNext/>
        <w:numPr>
          <w:ilvl w:val="0"/>
          <w:numId w:val="4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Figure 2.1 illustrates </w:t>
      </w:r>
      <w:r w:rsidR="00BD6478">
        <w:rPr>
          <w:bCs/>
          <w:sz w:val="24"/>
          <w:szCs w:val="24"/>
        </w:rPr>
        <w:t xml:space="preserve">Form </w:t>
      </w:r>
      <w:r>
        <w:rPr>
          <w:bCs/>
          <w:sz w:val="24"/>
          <w:szCs w:val="24"/>
        </w:rPr>
        <w:t>W-2</w:t>
      </w:r>
      <w:r w:rsidR="00C1263A">
        <w:rPr>
          <w:bCs/>
          <w:sz w:val="24"/>
          <w:szCs w:val="24"/>
        </w:rPr>
        <w:t>.</w:t>
      </w:r>
    </w:p>
    <w:p w14:paraId="2F87C018" w14:textId="77777777" w:rsidR="00BD6478" w:rsidRPr="00317791" w:rsidRDefault="00BD6478" w:rsidP="004E1A04">
      <w:pPr>
        <w:keepNext/>
        <w:jc w:val="both"/>
        <w:rPr>
          <w:bCs/>
          <w:sz w:val="24"/>
          <w:szCs w:val="24"/>
        </w:rPr>
      </w:pPr>
    </w:p>
    <w:p w14:paraId="16DE2C3E" w14:textId="0A5159AC" w:rsidR="00906912" w:rsidRDefault="00906912" w:rsidP="004E1A04">
      <w:pPr>
        <w:keepNext/>
        <w:jc w:val="both"/>
        <w:outlineLvl w:val="0"/>
        <w:rPr>
          <w:b/>
          <w:bCs/>
          <w:sz w:val="24"/>
          <w:szCs w:val="24"/>
          <w:u w:val="single"/>
        </w:rPr>
      </w:pPr>
      <w:r w:rsidRPr="00906912">
        <w:rPr>
          <w:b/>
          <w:bCs/>
          <w:sz w:val="24"/>
          <w:szCs w:val="24"/>
          <w:u w:val="single"/>
        </w:rPr>
        <w:t>Learning Objective 2.</w:t>
      </w:r>
      <w:r>
        <w:rPr>
          <w:b/>
          <w:bCs/>
          <w:sz w:val="24"/>
          <w:szCs w:val="24"/>
          <w:u w:val="single"/>
        </w:rPr>
        <w:t xml:space="preserve">3 </w:t>
      </w:r>
      <w:r w:rsidR="004842E4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 xml:space="preserve">Accident </w:t>
      </w:r>
      <w:r w:rsidR="00C1263A">
        <w:rPr>
          <w:b/>
          <w:bCs/>
          <w:sz w:val="24"/>
          <w:szCs w:val="24"/>
          <w:u w:val="single"/>
        </w:rPr>
        <w:t>and</w:t>
      </w:r>
      <w:r>
        <w:rPr>
          <w:b/>
          <w:bCs/>
          <w:sz w:val="24"/>
          <w:szCs w:val="24"/>
          <w:u w:val="single"/>
        </w:rPr>
        <w:t xml:space="preserve"> Health Insurance</w:t>
      </w:r>
    </w:p>
    <w:p w14:paraId="03ADAF0E" w14:textId="77777777" w:rsidR="000A76E0" w:rsidRDefault="000A76E0" w:rsidP="004E1A04">
      <w:pPr>
        <w:rPr>
          <w:sz w:val="24"/>
          <w:szCs w:val="24"/>
        </w:rPr>
      </w:pPr>
      <w:r>
        <w:rPr>
          <w:sz w:val="24"/>
          <w:szCs w:val="24"/>
        </w:rPr>
        <w:t xml:space="preserve">Taxpayers may exclude from income the entire amount received from accident or health insurance plans for payment of medical care.  </w:t>
      </w:r>
    </w:p>
    <w:p w14:paraId="3921707F" w14:textId="52191690" w:rsidR="000A76E0" w:rsidRDefault="000A76E0" w:rsidP="004E1A04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3E4007">
        <w:rPr>
          <w:sz w:val="24"/>
          <w:szCs w:val="24"/>
        </w:rPr>
        <w:t xml:space="preserve">Taxpayers may also exclude any premiums paid by </w:t>
      </w:r>
      <w:r w:rsidR="005519C8">
        <w:rPr>
          <w:sz w:val="24"/>
          <w:szCs w:val="24"/>
        </w:rPr>
        <w:t>their</w:t>
      </w:r>
      <w:r>
        <w:rPr>
          <w:sz w:val="24"/>
          <w:szCs w:val="24"/>
        </w:rPr>
        <w:t xml:space="preserve"> employer from income. </w:t>
      </w:r>
    </w:p>
    <w:p w14:paraId="52E58BC2" w14:textId="77777777" w:rsidR="000A76E0" w:rsidRPr="003E4007" w:rsidRDefault="000A76E0" w:rsidP="004E1A04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3E4007">
        <w:rPr>
          <w:sz w:val="24"/>
          <w:szCs w:val="24"/>
        </w:rPr>
        <w:t xml:space="preserve">If the employer pays premiums on behalf of the employee for health, accident, or long-term care insurance, the employer may deduct them.   </w:t>
      </w:r>
    </w:p>
    <w:p w14:paraId="738B673C" w14:textId="77777777" w:rsidR="00A55A77" w:rsidRDefault="00A55A77" w:rsidP="004E1A04">
      <w:pPr>
        <w:jc w:val="both"/>
        <w:rPr>
          <w:b/>
          <w:bCs/>
          <w:sz w:val="24"/>
          <w:szCs w:val="24"/>
        </w:rPr>
      </w:pPr>
    </w:p>
    <w:p w14:paraId="31963E40" w14:textId="3D8DD804" w:rsidR="000A76E0" w:rsidRDefault="000A76E0" w:rsidP="004E1A04">
      <w:pPr>
        <w:keepNext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Learning Objective 2.4</w:t>
      </w:r>
      <w:r>
        <w:rPr>
          <w:b/>
          <w:bCs/>
          <w:sz w:val="24"/>
          <w:szCs w:val="24"/>
          <w:u w:val="single"/>
        </w:rPr>
        <w:tab/>
        <w:t>Meals and Lodging</w:t>
      </w:r>
    </w:p>
    <w:p w14:paraId="4FC5EBF8" w14:textId="7A03ACE0" w:rsidR="00FE37D3" w:rsidRPr="009D1DFD" w:rsidRDefault="00EF4B08" w:rsidP="004E1A04">
      <w:pPr>
        <w:keepNext/>
        <w:rPr>
          <w:sz w:val="24"/>
          <w:szCs w:val="24"/>
        </w:rPr>
      </w:pPr>
      <w:r w:rsidRPr="009D1DFD">
        <w:rPr>
          <w:sz w:val="24"/>
          <w:szCs w:val="24"/>
        </w:rPr>
        <w:t xml:space="preserve">Meals and lodging provided by </w:t>
      </w:r>
      <w:r w:rsidR="00325C50">
        <w:rPr>
          <w:sz w:val="24"/>
          <w:szCs w:val="24"/>
        </w:rPr>
        <w:t xml:space="preserve">the </w:t>
      </w:r>
      <w:r w:rsidRPr="009D1DFD">
        <w:rPr>
          <w:sz w:val="24"/>
          <w:szCs w:val="24"/>
        </w:rPr>
        <w:t xml:space="preserve">employer are generally excluded from income if </w:t>
      </w:r>
      <w:r w:rsidR="00325C50">
        <w:rPr>
          <w:sz w:val="24"/>
          <w:szCs w:val="24"/>
        </w:rPr>
        <w:t xml:space="preserve">the </w:t>
      </w:r>
      <w:r w:rsidRPr="009D1DFD">
        <w:rPr>
          <w:sz w:val="24"/>
          <w:szCs w:val="24"/>
        </w:rPr>
        <w:t>following tests are met</w:t>
      </w:r>
      <w:r w:rsidR="00DD37AE">
        <w:rPr>
          <w:sz w:val="24"/>
          <w:szCs w:val="24"/>
        </w:rPr>
        <w:t>:</w:t>
      </w:r>
    </w:p>
    <w:p w14:paraId="76FA7164" w14:textId="7A0C1764" w:rsidR="00FE37D3" w:rsidRPr="009D1DFD" w:rsidRDefault="00325C50" w:rsidP="004E1A04">
      <w:pPr>
        <w:keepNext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The m</w:t>
      </w:r>
      <w:r w:rsidR="00EF4B08" w:rsidRPr="009D1DFD">
        <w:rPr>
          <w:sz w:val="24"/>
          <w:szCs w:val="24"/>
        </w:rPr>
        <w:t xml:space="preserve">eals </w:t>
      </w:r>
      <w:r>
        <w:rPr>
          <w:sz w:val="24"/>
          <w:szCs w:val="24"/>
        </w:rPr>
        <w:t xml:space="preserve">are </w:t>
      </w:r>
      <w:r w:rsidR="00EF4B08" w:rsidRPr="009D1DFD">
        <w:rPr>
          <w:sz w:val="24"/>
          <w:szCs w:val="24"/>
        </w:rPr>
        <w:t xml:space="preserve">provided by </w:t>
      </w:r>
      <w:r>
        <w:rPr>
          <w:sz w:val="24"/>
          <w:szCs w:val="24"/>
        </w:rPr>
        <w:t xml:space="preserve">an </w:t>
      </w:r>
      <w:r w:rsidR="00EF4B08" w:rsidRPr="009D1DFD">
        <w:rPr>
          <w:sz w:val="24"/>
          <w:szCs w:val="24"/>
        </w:rPr>
        <w:t xml:space="preserve">employer on </w:t>
      </w:r>
      <w:r>
        <w:rPr>
          <w:sz w:val="24"/>
          <w:szCs w:val="24"/>
        </w:rPr>
        <w:t xml:space="preserve">business </w:t>
      </w:r>
      <w:r w:rsidR="00EF4B08" w:rsidRPr="009D1DFD">
        <w:rPr>
          <w:sz w:val="24"/>
          <w:szCs w:val="24"/>
        </w:rPr>
        <w:t xml:space="preserve">premises during working hours </w:t>
      </w:r>
      <w:r w:rsidR="00EF4B08" w:rsidRPr="004E1A04">
        <w:rPr>
          <w:iCs/>
          <w:sz w:val="24"/>
          <w:szCs w:val="24"/>
        </w:rPr>
        <w:t>solely for the benefit of the employer</w:t>
      </w:r>
      <w:r w:rsidR="00EF4B08" w:rsidRPr="009D1DFD">
        <w:rPr>
          <w:i/>
          <w:iCs/>
          <w:sz w:val="24"/>
          <w:szCs w:val="24"/>
        </w:rPr>
        <w:t xml:space="preserve"> </w:t>
      </w:r>
      <w:r w:rsidR="00EF4B08" w:rsidRPr="009D1DFD">
        <w:rPr>
          <w:sz w:val="24"/>
          <w:szCs w:val="24"/>
        </w:rPr>
        <w:t xml:space="preserve">because </w:t>
      </w:r>
      <w:r>
        <w:rPr>
          <w:sz w:val="24"/>
          <w:szCs w:val="24"/>
        </w:rPr>
        <w:t xml:space="preserve">the </w:t>
      </w:r>
      <w:r w:rsidR="00EF4B08" w:rsidRPr="009D1DFD">
        <w:rPr>
          <w:sz w:val="24"/>
          <w:szCs w:val="24"/>
        </w:rPr>
        <w:t>employee must be available for emergency calls or is limited to short meal periods</w:t>
      </w:r>
    </w:p>
    <w:p w14:paraId="00DD038A" w14:textId="3CEA47A5" w:rsidR="00FE37D3" w:rsidRPr="009D1DFD" w:rsidRDefault="00325C50" w:rsidP="004E1A04">
      <w:pPr>
        <w:keepNext/>
        <w:numPr>
          <w:ilvl w:val="2"/>
          <w:numId w:val="67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Under the</w:t>
      </w:r>
      <w:r w:rsidR="00EF4B08" w:rsidRPr="009D1DFD">
        <w:rPr>
          <w:sz w:val="24"/>
          <w:szCs w:val="24"/>
        </w:rPr>
        <w:t xml:space="preserve"> TCJA, only 50% of </w:t>
      </w:r>
      <w:r>
        <w:rPr>
          <w:sz w:val="24"/>
          <w:szCs w:val="24"/>
        </w:rPr>
        <w:t xml:space="preserve">the </w:t>
      </w:r>
      <w:r w:rsidR="00EF4B08" w:rsidRPr="009D1DFD">
        <w:rPr>
          <w:sz w:val="24"/>
          <w:szCs w:val="24"/>
        </w:rPr>
        <w:t xml:space="preserve">cost of these meals is deductible by </w:t>
      </w:r>
      <w:r>
        <w:rPr>
          <w:sz w:val="24"/>
          <w:szCs w:val="24"/>
        </w:rPr>
        <w:t xml:space="preserve">the </w:t>
      </w:r>
      <w:r w:rsidR="00EF4B08" w:rsidRPr="009D1DFD">
        <w:rPr>
          <w:sz w:val="24"/>
          <w:szCs w:val="24"/>
        </w:rPr>
        <w:t>employer</w:t>
      </w:r>
      <w:r>
        <w:rPr>
          <w:sz w:val="24"/>
          <w:szCs w:val="24"/>
        </w:rPr>
        <w:t>.</w:t>
      </w:r>
    </w:p>
    <w:p w14:paraId="39DD8280" w14:textId="02CB6993" w:rsidR="00FE37D3" w:rsidRPr="009D1DFD" w:rsidRDefault="00325C50" w:rsidP="004E1A04">
      <w:pPr>
        <w:keepNext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The l</w:t>
      </w:r>
      <w:r w:rsidR="00EF4B08" w:rsidRPr="009D1DFD">
        <w:rPr>
          <w:sz w:val="24"/>
          <w:szCs w:val="24"/>
        </w:rPr>
        <w:t xml:space="preserve">odging </w:t>
      </w:r>
      <w:r>
        <w:rPr>
          <w:sz w:val="24"/>
          <w:szCs w:val="24"/>
        </w:rPr>
        <w:t xml:space="preserve">is </w:t>
      </w:r>
      <w:r w:rsidR="00EF4B08" w:rsidRPr="009D1DFD">
        <w:rPr>
          <w:sz w:val="24"/>
          <w:szCs w:val="24"/>
        </w:rPr>
        <w:t xml:space="preserve">provided by </w:t>
      </w:r>
      <w:r>
        <w:rPr>
          <w:sz w:val="24"/>
          <w:szCs w:val="24"/>
        </w:rPr>
        <w:t xml:space="preserve">an </w:t>
      </w:r>
      <w:r w:rsidR="00EF4B08" w:rsidRPr="009D1DFD">
        <w:rPr>
          <w:sz w:val="24"/>
          <w:szCs w:val="24"/>
        </w:rPr>
        <w:t xml:space="preserve">employer on </w:t>
      </w:r>
      <w:r>
        <w:rPr>
          <w:sz w:val="24"/>
          <w:szCs w:val="24"/>
        </w:rPr>
        <w:t xml:space="preserve">business </w:t>
      </w:r>
      <w:r w:rsidR="00EF4B08" w:rsidRPr="009D1DFD">
        <w:rPr>
          <w:sz w:val="24"/>
          <w:szCs w:val="24"/>
        </w:rPr>
        <w:t>premises and must be accepted as a requirement for employment</w:t>
      </w:r>
      <w:r>
        <w:rPr>
          <w:sz w:val="24"/>
          <w:szCs w:val="24"/>
        </w:rPr>
        <w:t>.</w:t>
      </w:r>
    </w:p>
    <w:p w14:paraId="3597F832" w14:textId="77777777" w:rsidR="00A02878" w:rsidRDefault="00A02878" w:rsidP="004E1A04">
      <w:pPr>
        <w:jc w:val="both"/>
        <w:rPr>
          <w:b/>
          <w:bCs/>
          <w:sz w:val="24"/>
          <w:szCs w:val="24"/>
        </w:rPr>
      </w:pPr>
    </w:p>
    <w:p w14:paraId="7187AD38" w14:textId="260125C2" w:rsidR="00906912" w:rsidRDefault="00906912" w:rsidP="004E1A04">
      <w:pPr>
        <w:keepNext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 2.5</w:t>
      </w:r>
      <w:r>
        <w:rPr>
          <w:b/>
          <w:bCs/>
          <w:sz w:val="24"/>
          <w:szCs w:val="24"/>
          <w:u w:val="single"/>
        </w:rPr>
        <w:tab/>
        <w:t>Employee Fringe Benefits</w:t>
      </w:r>
    </w:p>
    <w:p w14:paraId="7D0D4170" w14:textId="689EE934" w:rsidR="00906912" w:rsidRDefault="00906912" w:rsidP="004E1A04">
      <w:pPr>
        <w:ind w:right="360"/>
        <w:rPr>
          <w:sz w:val="24"/>
          <w:szCs w:val="24"/>
        </w:rPr>
      </w:pPr>
      <w:r>
        <w:rPr>
          <w:sz w:val="24"/>
          <w:szCs w:val="24"/>
        </w:rPr>
        <w:t>All fringe benefits must be included in an employee’s gross income</w:t>
      </w:r>
      <w:r w:rsidR="00E94809">
        <w:rPr>
          <w:sz w:val="24"/>
          <w:szCs w:val="24"/>
        </w:rPr>
        <w:t>,</w:t>
      </w:r>
      <w:r>
        <w:rPr>
          <w:sz w:val="24"/>
          <w:szCs w:val="24"/>
        </w:rPr>
        <w:t xml:space="preserve"> unless specifically excluded by law. </w:t>
      </w:r>
      <w:r w:rsidR="00703198">
        <w:rPr>
          <w:sz w:val="24"/>
          <w:szCs w:val="24"/>
        </w:rPr>
        <w:t>(See Table 2.3 for more details.)</w:t>
      </w:r>
    </w:p>
    <w:p w14:paraId="00946EE3" w14:textId="77777777" w:rsidR="00906912" w:rsidRDefault="00906912" w:rsidP="004E1A04">
      <w:pPr>
        <w:ind w:right="360"/>
        <w:jc w:val="both"/>
        <w:rPr>
          <w:b/>
          <w:bCs/>
          <w:sz w:val="24"/>
          <w:szCs w:val="24"/>
        </w:rPr>
      </w:pPr>
    </w:p>
    <w:p w14:paraId="596E9E0E" w14:textId="77777777" w:rsidR="00906912" w:rsidRPr="007D317F" w:rsidRDefault="00906912" w:rsidP="004E1A04">
      <w:pPr>
        <w:ind w:right="360"/>
        <w:jc w:val="both"/>
        <w:outlineLvl w:val="0"/>
        <w:rPr>
          <w:b/>
          <w:bCs/>
          <w:sz w:val="24"/>
          <w:szCs w:val="24"/>
        </w:rPr>
      </w:pPr>
      <w:r w:rsidRPr="007D317F">
        <w:rPr>
          <w:b/>
          <w:bCs/>
          <w:sz w:val="24"/>
          <w:szCs w:val="24"/>
        </w:rPr>
        <w:t>Flexible Spending Accounts</w:t>
      </w:r>
    </w:p>
    <w:p w14:paraId="03B263A5" w14:textId="33656A40" w:rsidR="00906912" w:rsidRDefault="00906912" w:rsidP="004E1A04">
      <w:pPr>
        <w:ind w:righ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Employers may form plans </w:t>
      </w:r>
      <w:r w:rsidR="003C4990">
        <w:rPr>
          <w:bCs/>
          <w:sz w:val="24"/>
          <w:szCs w:val="24"/>
        </w:rPr>
        <w:t>that</w:t>
      </w:r>
      <w:r>
        <w:rPr>
          <w:bCs/>
          <w:sz w:val="24"/>
          <w:szCs w:val="24"/>
        </w:rPr>
        <w:t xml:space="preserve"> allow employees to set aside money from their salary before it is taxed to pay for one or more expenses.  </w:t>
      </w:r>
    </w:p>
    <w:p w14:paraId="6DA566BD" w14:textId="14AF0440" w:rsidR="00906912" w:rsidRDefault="00906912" w:rsidP="004E1A04">
      <w:pPr>
        <w:pStyle w:val="ListParagraph"/>
        <w:numPr>
          <w:ilvl w:val="0"/>
          <w:numId w:val="38"/>
        </w:numPr>
        <w:ind w:right="360"/>
        <w:jc w:val="both"/>
        <w:rPr>
          <w:bCs/>
          <w:sz w:val="24"/>
          <w:szCs w:val="24"/>
        </w:rPr>
      </w:pPr>
      <w:r w:rsidRPr="003E4007">
        <w:rPr>
          <w:bCs/>
          <w:sz w:val="24"/>
          <w:szCs w:val="24"/>
        </w:rPr>
        <w:t>These expenses</w:t>
      </w:r>
      <w:r>
        <w:rPr>
          <w:bCs/>
          <w:sz w:val="24"/>
          <w:szCs w:val="24"/>
        </w:rPr>
        <w:t>, in 201</w:t>
      </w:r>
      <w:r w:rsidR="00E66EDB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, </w:t>
      </w:r>
      <w:r w:rsidRPr="003E4007">
        <w:rPr>
          <w:bCs/>
          <w:sz w:val="24"/>
          <w:szCs w:val="24"/>
        </w:rPr>
        <w:t>include</w:t>
      </w:r>
      <w:r w:rsidR="003C4990">
        <w:rPr>
          <w:bCs/>
          <w:sz w:val="24"/>
          <w:szCs w:val="24"/>
        </w:rPr>
        <w:t xml:space="preserve"> the following:</w:t>
      </w:r>
      <w:r w:rsidRPr="003E4007">
        <w:rPr>
          <w:bCs/>
          <w:sz w:val="24"/>
          <w:szCs w:val="24"/>
        </w:rPr>
        <w:t xml:space="preserve"> </w:t>
      </w:r>
    </w:p>
    <w:p w14:paraId="7D634A88" w14:textId="77777777" w:rsidR="00906912" w:rsidRDefault="00906912" w:rsidP="004E1A04">
      <w:pPr>
        <w:pStyle w:val="ListParagraph"/>
        <w:numPr>
          <w:ilvl w:val="1"/>
          <w:numId w:val="38"/>
        </w:numPr>
        <w:ind w:right="360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3E4007">
        <w:rPr>
          <w:bCs/>
          <w:sz w:val="24"/>
          <w:szCs w:val="24"/>
        </w:rPr>
        <w:t>ependent care accounts (maximum of $5,000</w:t>
      </w:r>
      <w:r>
        <w:rPr>
          <w:bCs/>
          <w:sz w:val="24"/>
          <w:szCs w:val="24"/>
        </w:rPr>
        <w:t>)</w:t>
      </w:r>
    </w:p>
    <w:p w14:paraId="652F3692" w14:textId="77F3EE8A" w:rsidR="00906912" w:rsidRDefault="003C4990" w:rsidP="004E1A04">
      <w:pPr>
        <w:pStyle w:val="ListParagraph"/>
        <w:numPr>
          <w:ilvl w:val="1"/>
          <w:numId w:val="38"/>
        </w:numPr>
        <w:ind w:right="360"/>
        <w:rPr>
          <w:bCs/>
          <w:sz w:val="24"/>
          <w:szCs w:val="24"/>
        </w:rPr>
      </w:pPr>
      <w:r>
        <w:rPr>
          <w:bCs/>
          <w:sz w:val="24"/>
          <w:szCs w:val="24"/>
        </w:rPr>
        <w:t>Health care</w:t>
      </w:r>
      <w:r w:rsidR="00906912" w:rsidRPr="003E4007">
        <w:rPr>
          <w:bCs/>
          <w:sz w:val="24"/>
          <w:szCs w:val="24"/>
        </w:rPr>
        <w:t xml:space="preserve"> accounts (</w:t>
      </w:r>
      <w:r w:rsidR="00317791">
        <w:rPr>
          <w:bCs/>
          <w:sz w:val="24"/>
          <w:szCs w:val="24"/>
        </w:rPr>
        <w:t>up to $2,</w:t>
      </w:r>
      <w:r w:rsidR="00E66EDB">
        <w:rPr>
          <w:bCs/>
          <w:sz w:val="24"/>
          <w:szCs w:val="24"/>
        </w:rPr>
        <w:t>70</w:t>
      </w:r>
      <w:r w:rsidR="00906912" w:rsidRPr="003E4007">
        <w:rPr>
          <w:bCs/>
          <w:sz w:val="24"/>
          <w:szCs w:val="24"/>
        </w:rPr>
        <w:t>0 per year)</w:t>
      </w:r>
    </w:p>
    <w:p w14:paraId="5F4D5FEB" w14:textId="5BCCC1FB" w:rsidR="00906912" w:rsidRDefault="00906912" w:rsidP="004E1A04">
      <w:pPr>
        <w:pStyle w:val="ListParagraph"/>
        <w:numPr>
          <w:ilvl w:val="1"/>
          <w:numId w:val="38"/>
        </w:numPr>
        <w:ind w:right="360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 w:rsidRPr="003E4007">
        <w:rPr>
          <w:bCs/>
          <w:sz w:val="24"/>
          <w:szCs w:val="24"/>
        </w:rPr>
        <w:t>ublic transportation</w:t>
      </w:r>
      <w:r w:rsidR="003C4990">
        <w:rPr>
          <w:bCs/>
          <w:sz w:val="24"/>
          <w:szCs w:val="24"/>
        </w:rPr>
        <w:t>,</w:t>
      </w:r>
      <w:r w:rsidRPr="003E4007">
        <w:rPr>
          <w:bCs/>
          <w:sz w:val="24"/>
          <w:szCs w:val="24"/>
        </w:rPr>
        <w:t xml:space="preserve"> parking at work</w:t>
      </w:r>
      <w:r w:rsidR="003C4990">
        <w:rPr>
          <w:bCs/>
          <w:sz w:val="24"/>
          <w:szCs w:val="24"/>
        </w:rPr>
        <w:t>, and bicycle commuting</w:t>
      </w:r>
      <w:r w:rsidR="00317791">
        <w:rPr>
          <w:bCs/>
          <w:sz w:val="24"/>
          <w:szCs w:val="24"/>
        </w:rPr>
        <w:t xml:space="preserve"> (up to </w:t>
      </w:r>
      <w:r w:rsidR="00E66EDB">
        <w:rPr>
          <w:bCs/>
          <w:sz w:val="24"/>
          <w:szCs w:val="24"/>
        </w:rPr>
        <w:t>certain limits</w:t>
      </w:r>
      <w:r w:rsidRPr="003E4007">
        <w:rPr>
          <w:bCs/>
          <w:sz w:val="24"/>
          <w:szCs w:val="24"/>
        </w:rPr>
        <w:t xml:space="preserve">)  </w:t>
      </w:r>
    </w:p>
    <w:p w14:paraId="71173823" w14:textId="23EDFB15" w:rsidR="00E66EDB" w:rsidRPr="003E4007" w:rsidRDefault="00E66EDB" w:rsidP="004E1A04">
      <w:pPr>
        <w:pStyle w:val="ListParagraph"/>
        <w:numPr>
          <w:ilvl w:val="0"/>
          <w:numId w:val="38"/>
        </w:numPr>
        <w:ind w:right="360"/>
        <w:rPr>
          <w:bCs/>
          <w:sz w:val="24"/>
          <w:szCs w:val="24"/>
        </w:rPr>
      </w:pPr>
      <w:r>
        <w:rPr>
          <w:bCs/>
          <w:sz w:val="24"/>
          <w:szCs w:val="24"/>
        </w:rPr>
        <w:t>Under the “use</w:t>
      </w:r>
      <w:r w:rsidR="003C499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it</w:t>
      </w:r>
      <w:r w:rsidR="003C499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or</w:t>
      </w:r>
      <w:r w:rsidR="003C499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lose</w:t>
      </w:r>
      <w:r w:rsidR="003C4990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it” provision, employe</w:t>
      </w:r>
      <w:r w:rsidR="003C4990">
        <w:rPr>
          <w:bCs/>
          <w:sz w:val="24"/>
          <w:szCs w:val="24"/>
        </w:rPr>
        <w:t>r</w:t>
      </w:r>
      <w:r w:rsidR="00DD37AE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can </w:t>
      </w:r>
      <w:r w:rsidR="003C4990">
        <w:rPr>
          <w:bCs/>
          <w:sz w:val="24"/>
          <w:szCs w:val="24"/>
        </w:rPr>
        <w:t xml:space="preserve">allow </w:t>
      </w:r>
      <w:r>
        <w:rPr>
          <w:bCs/>
          <w:sz w:val="24"/>
          <w:szCs w:val="24"/>
        </w:rPr>
        <w:t xml:space="preserve">$500 of unused amounts </w:t>
      </w:r>
      <w:r w:rsidR="003C4990">
        <w:rPr>
          <w:bCs/>
          <w:sz w:val="24"/>
          <w:szCs w:val="24"/>
        </w:rPr>
        <w:t>to be carried over into the next year or offer</w:t>
      </w:r>
      <w:r>
        <w:rPr>
          <w:bCs/>
          <w:sz w:val="24"/>
          <w:szCs w:val="24"/>
        </w:rPr>
        <w:t xml:space="preserve"> a </w:t>
      </w:r>
      <w:r w:rsidR="003C4990">
        <w:rPr>
          <w:bCs/>
          <w:sz w:val="24"/>
          <w:szCs w:val="24"/>
        </w:rPr>
        <w:t>2</w:t>
      </w:r>
      <w:r w:rsidR="00203BEC">
        <w:rPr>
          <w:bCs/>
          <w:sz w:val="24"/>
          <w:szCs w:val="24"/>
        </w:rPr>
        <w:t>½</w:t>
      </w:r>
      <w:r>
        <w:rPr>
          <w:bCs/>
          <w:sz w:val="24"/>
          <w:szCs w:val="24"/>
        </w:rPr>
        <w:t>-month grace period the following year</w:t>
      </w:r>
      <w:r w:rsidR="003C4990">
        <w:rPr>
          <w:bCs/>
          <w:sz w:val="24"/>
          <w:szCs w:val="24"/>
        </w:rPr>
        <w:t>.</w:t>
      </w:r>
    </w:p>
    <w:p w14:paraId="3665B541" w14:textId="77777777" w:rsidR="00906912" w:rsidRDefault="00906912" w:rsidP="004E1A04">
      <w:pPr>
        <w:ind w:right="360"/>
        <w:jc w:val="both"/>
        <w:rPr>
          <w:bCs/>
          <w:sz w:val="24"/>
          <w:szCs w:val="24"/>
        </w:rPr>
      </w:pPr>
    </w:p>
    <w:p w14:paraId="76E75441" w14:textId="7BC61943" w:rsidR="00906912" w:rsidRPr="000B4A48" w:rsidRDefault="00906912" w:rsidP="004E1A04">
      <w:pPr>
        <w:ind w:right="360"/>
        <w:jc w:val="both"/>
        <w:outlineLvl w:val="0"/>
        <w:rPr>
          <w:bCs/>
          <w:sz w:val="24"/>
          <w:szCs w:val="24"/>
        </w:rPr>
      </w:pPr>
      <w:r w:rsidRPr="007D317F">
        <w:rPr>
          <w:b/>
          <w:bCs/>
          <w:sz w:val="24"/>
          <w:szCs w:val="24"/>
        </w:rPr>
        <w:t>Group Term Life</w:t>
      </w:r>
      <w:r w:rsidR="00203BEC">
        <w:rPr>
          <w:bCs/>
          <w:sz w:val="24"/>
          <w:szCs w:val="24"/>
        </w:rPr>
        <w:t xml:space="preserve"> </w:t>
      </w:r>
      <w:r w:rsidRPr="007D317F">
        <w:rPr>
          <w:b/>
          <w:bCs/>
          <w:sz w:val="24"/>
          <w:szCs w:val="24"/>
        </w:rPr>
        <w:t>Insurance</w:t>
      </w:r>
    </w:p>
    <w:p w14:paraId="2398330F" w14:textId="77777777" w:rsidR="00906912" w:rsidRDefault="00906912" w:rsidP="004E1A04">
      <w:pPr>
        <w:ind w:right="36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Employers may pay for up to $50,000 of group te</w:t>
      </w:r>
      <w:r w:rsidR="00317791">
        <w:rPr>
          <w:bCs/>
          <w:sz w:val="24"/>
          <w:szCs w:val="24"/>
        </w:rPr>
        <w:t xml:space="preserve">rm life </w:t>
      </w:r>
      <w:r>
        <w:rPr>
          <w:bCs/>
          <w:sz w:val="24"/>
          <w:szCs w:val="24"/>
        </w:rPr>
        <w:t>insurance for employees.</w:t>
      </w:r>
    </w:p>
    <w:p w14:paraId="04BCCA42" w14:textId="77777777" w:rsidR="00317791" w:rsidRDefault="00317791" w:rsidP="004E1A04">
      <w:pPr>
        <w:ind w:right="360"/>
        <w:jc w:val="both"/>
        <w:rPr>
          <w:b/>
          <w:bCs/>
          <w:sz w:val="24"/>
          <w:szCs w:val="24"/>
        </w:rPr>
      </w:pPr>
    </w:p>
    <w:p w14:paraId="59A7E884" w14:textId="79C407DD" w:rsidR="00317791" w:rsidRPr="007D317F" w:rsidRDefault="00317791" w:rsidP="004E1A04">
      <w:pPr>
        <w:ind w:right="360"/>
        <w:jc w:val="both"/>
        <w:outlineLvl w:val="0"/>
        <w:rPr>
          <w:b/>
          <w:bCs/>
          <w:sz w:val="24"/>
          <w:szCs w:val="24"/>
        </w:rPr>
      </w:pPr>
      <w:r w:rsidRPr="007D317F">
        <w:rPr>
          <w:b/>
          <w:bCs/>
          <w:sz w:val="24"/>
          <w:szCs w:val="24"/>
        </w:rPr>
        <w:t>Education Assistance P</w:t>
      </w:r>
      <w:r w:rsidR="00203BEC" w:rsidRPr="007D317F">
        <w:rPr>
          <w:b/>
          <w:bCs/>
          <w:sz w:val="24"/>
          <w:szCs w:val="24"/>
        </w:rPr>
        <w:t>lans</w:t>
      </w:r>
    </w:p>
    <w:p w14:paraId="1990060B" w14:textId="57376398" w:rsidR="00317791" w:rsidRDefault="00317791" w:rsidP="004E1A04">
      <w:pPr>
        <w:ind w:right="360"/>
        <w:jc w:val="both"/>
        <w:rPr>
          <w:sz w:val="24"/>
          <w:szCs w:val="24"/>
        </w:rPr>
      </w:pPr>
      <w:r w:rsidRPr="002C4D37">
        <w:rPr>
          <w:sz w:val="24"/>
          <w:szCs w:val="24"/>
        </w:rPr>
        <w:t>Employer</w:t>
      </w:r>
      <w:r w:rsidR="00203BEC">
        <w:rPr>
          <w:sz w:val="24"/>
          <w:szCs w:val="24"/>
        </w:rPr>
        <w:t>s</w:t>
      </w:r>
      <w:r w:rsidRPr="002C4D37">
        <w:rPr>
          <w:sz w:val="24"/>
          <w:szCs w:val="24"/>
        </w:rPr>
        <w:t xml:space="preserve"> may provide up to $5,250 of excludable tuition assistance. </w:t>
      </w:r>
    </w:p>
    <w:p w14:paraId="454491A9" w14:textId="706E921B" w:rsidR="00317791" w:rsidRPr="003E4007" w:rsidRDefault="00203BEC" w:rsidP="004E1A04">
      <w:pPr>
        <w:pStyle w:val="ListParagraph"/>
        <w:numPr>
          <w:ilvl w:val="0"/>
          <w:numId w:val="38"/>
        </w:numPr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>This exclusion r</w:t>
      </w:r>
      <w:r w:rsidR="00317791" w:rsidRPr="003E4007">
        <w:rPr>
          <w:sz w:val="24"/>
          <w:szCs w:val="24"/>
        </w:rPr>
        <w:t>equires existence of a written plan.</w:t>
      </w:r>
    </w:p>
    <w:p w14:paraId="56568102" w14:textId="77777777" w:rsidR="00317791" w:rsidRDefault="00317791" w:rsidP="004E1A04">
      <w:pPr>
        <w:ind w:right="360"/>
        <w:jc w:val="both"/>
        <w:rPr>
          <w:b/>
          <w:bCs/>
          <w:sz w:val="24"/>
          <w:szCs w:val="24"/>
        </w:rPr>
      </w:pPr>
    </w:p>
    <w:p w14:paraId="4FA0049D" w14:textId="77777777" w:rsidR="00906912" w:rsidRPr="007D317F" w:rsidRDefault="00906912" w:rsidP="004E1A04">
      <w:pPr>
        <w:ind w:right="360"/>
        <w:jc w:val="both"/>
        <w:outlineLvl w:val="0"/>
        <w:rPr>
          <w:b/>
          <w:bCs/>
          <w:sz w:val="24"/>
          <w:szCs w:val="24"/>
        </w:rPr>
      </w:pPr>
      <w:r w:rsidRPr="007D317F">
        <w:rPr>
          <w:b/>
          <w:bCs/>
          <w:sz w:val="24"/>
          <w:szCs w:val="24"/>
        </w:rPr>
        <w:t>No-Additional-Cost Services</w:t>
      </w:r>
    </w:p>
    <w:p w14:paraId="48DDE189" w14:textId="740EBD89" w:rsidR="00906912" w:rsidRDefault="00906912" w:rsidP="004E1A04">
      <w:pPr>
        <w:ind w:right="360"/>
        <w:rPr>
          <w:sz w:val="24"/>
          <w:szCs w:val="24"/>
        </w:rPr>
      </w:pPr>
      <w:r>
        <w:rPr>
          <w:sz w:val="24"/>
          <w:szCs w:val="24"/>
        </w:rPr>
        <w:t xml:space="preserve">Employees may receive tax-free services from their employer, in </w:t>
      </w:r>
      <w:r w:rsidR="007619F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major line of business in which </w:t>
      </w:r>
      <w:r w:rsidR="007619F0">
        <w:rPr>
          <w:sz w:val="24"/>
          <w:szCs w:val="24"/>
        </w:rPr>
        <w:t xml:space="preserve">they are </w:t>
      </w:r>
      <w:r>
        <w:rPr>
          <w:sz w:val="24"/>
          <w:szCs w:val="24"/>
        </w:rPr>
        <w:t xml:space="preserve">employed.  </w:t>
      </w:r>
    </w:p>
    <w:p w14:paraId="03223132" w14:textId="189BCA29" w:rsidR="00906912" w:rsidRPr="003E4007" w:rsidRDefault="007619F0" w:rsidP="004E1A04">
      <w:pPr>
        <w:pStyle w:val="ListParagraph"/>
        <w:numPr>
          <w:ilvl w:val="0"/>
          <w:numId w:val="38"/>
        </w:numPr>
        <w:ind w:right="360"/>
        <w:rPr>
          <w:sz w:val="24"/>
          <w:szCs w:val="24"/>
        </w:rPr>
      </w:pPr>
      <w:r>
        <w:rPr>
          <w:sz w:val="24"/>
          <w:szCs w:val="24"/>
        </w:rPr>
        <w:t>E</w:t>
      </w:r>
      <w:r w:rsidR="00906912">
        <w:rPr>
          <w:sz w:val="24"/>
          <w:szCs w:val="24"/>
        </w:rPr>
        <w:t>xample</w:t>
      </w:r>
      <w:r w:rsidR="00703198">
        <w:rPr>
          <w:sz w:val="24"/>
          <w:szCs w:val="24"/>
        </w:rPr>
        <w:t>:</w:t>
      </w:r>
      <w:r w:rsidR="00906912" w:rsidRPr="003E400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317791">
        <w:rPr>
          <w:sz w:val="24"/>
          <w:szCs w:val="24"/>
        </w:rPr>
        <w:t xml:space="preserve">n </w:t>
      </w:r>
      <w:r w:rsidR="00906912" w:rsidRPr="003E4007">
        <w:rPr>
          <w:sz w:val="24"/>
          <w:szCs w:val="24"/>
        </w:rPr>
        <w:t xml:space="preserve">airline employee’s free standby airplane ticket </w:t>
      </w:r>
      <w:r w:rsidR="00906912">
        <w:rPr>
          <w:sz w:val="24"/>
          <w:szCs w:val="24"/>
        </w:rPr>
        <w:t>(</w:t>
      </w:r>
      <w:r w:rsidR="00906912" w:rsidRPr="003E4007">
        <w:rPr>
          <w:sz w:val="24"/>
          <w:szCs w:val="24"/>
        </w:rPr>
        <w:t>employee is flying at no additional cost to the employer</w:t>
      </w:r>
      <w:r w:rsidR="00317791">
        <w:rPr>
          <w:sz w:val="24"/>
          <w:szCs w:val="24"/>
        </w:rPr>
        <w:t>)</w:t>
      </w:r>
      <w:r w:rsidR="00906912" w:rsidRPr="003E4007">
        <w:rPr>
          <w:sz w:val="24"/>
          <w:szCs w:val="24"/>
        </w:rPr>
        <w:t xml:space="preserve">  </w:t>
      </w:r>
    </w:p>
    <w:p w14:paraId="51C5F845" w14:textId="77777777" w:rsidR="00906912" w:rsidRDefault="00906912" w:rsidP="004E1A04">
      <w:pPr>
        <w:ind w:right="360"/>
        <w:jc w:val="both"/>
        <w:rPr>
          <w:sz w:val="24"/>
          <w:szCs w:val="24"/>
        </w:rPr>
      </w:pPr>
    </w:p>
    <w:p w14:paraId="32D2563F" w14:textId="77777777" w:rsidR="00906912" w:rsidRPr="007619F0" w:rsidRDefault="00906912" w:rsidP="004E1A04">
      <w:pPr>
        <w:ind w:right="360"/>
        <w:jc w:val="both"/>
        <w:outlineLvl w:val="0"/>
        <w:rPr>
          <w:sz w:val="24"/>
          <w:szCs w:val="24"/>
        </w:rPr>
      </w:pPr>
      <w:r w:rsidRPr="007D317F">
        <w:rPr>
          <w:b/>
          <w:bCs/>
          <w:sz w:val="24"/>
          <w:szCs w:val="24"/>
        </w:rPr>
        <w:t>Qualified Employee Discounts</w:t>
      </w:r>
      <w:r w:rsidRPr="007619F0">
        <w:rPr>
          <w:sz w:val="24"/>
          <w:szCs w:val="24"/>
        </w:rPr>
        <w:t xml:space="preserve">  </w:t>
      </w:r>
    </w:p>
    <w:p w14:paraId="4A437DF0" w14:textId="2B010111" w:rsidR="00906912" w:rsidRDefault="00906912" w:rsidP="004E1A04">
      <w:pPr>
        <w:ind w:right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Employees may receive tax-free discounts from their employer</w:t>
      </w:r>
      <w:r w:rsidR="007619F0">
        <w:rPr>
          <w:sz w:val="24"/>
          <w:szCs w:val="24"/>
        </w:rPr>
        <w:t>:</w:t>
      </w:r>
    </w:p>
    <w:p w14:paraId="1A432BDE" w14:textId="77777777" w:rsidR="00906912" w:rsidRDefault="00906912" w:rsidP="004E1A04">
      <w:pPr>
        <w:pStyle w:val="ListParagraph"/>
        <w:numPr>
          <w:ilvl w:val="0"/>
          <w:numId w:val="38"/>
        </w:numPr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>On services, limited to 20% of typical customer price</w:t>
      </w:r>
    </w:p>
    <w:p w14:paraId="1DF6A8A9" w14:textId="2BA73E91" w:rsidR="00906912" w:rsidRDefault="00906912" w:rsidP="004E1A04">
      <w:pPr>
        <w:pStyle w:val="ListParagraph"/>
        <w:numPr>
          <w:ilvl w:val="0"/>
          <w:numId w:val="38"/>
        </w:numPr>
        <w:ind w:right="360"/>
        <w:jc w:val="both"/>
        <w:rPr>
          <w:sz w:val="24"/>
          <w:szCs w:val="24"/>
        </w:rPr>
      </w:pPr>
      <w:r>
        <w:rPr>
          <w:sz w:val="24"/>
          <w:szCs w:val="24"/>
        </w:rPr>
        <w:t>On merchandise, limited to markup on product</w:t>
      </w:r>
    </w:p>
    <w:p w14:paraId="37B52083" w14:textId="77777777" w:rsidR="00703198" w:rsidRDefault="00703198" w:rsidP="004E1A04">
      <w:pPr>
        <w:ind w:right="360"/>
        <w:jc w:val="both"/>
        <w:rPr>
          <w:sz w:val="24"/>
          <w:szCs w:val="24"/>
        </w:rPr>
      </w:pPr>
    </w:p>
    <w:p w14:paraId="7844EE26" w14:textId="77777777" w:rsidR="007619F0" w:rsidRDefault="007619F0" w:rsidP="004E1A04">
      <w:pPr>
        <w:widowControl/>
        <w:overflowPunct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409F6B" w14:textId="4A1818F1" w:rsidR="00906912" w:rsidRPr="007D317F" w:rsidRDefault="00906912" w:rsidP="004E1A04">
      <w:pPr>
        <w:ind w:right="360"/>
        <w:jc w:val="both"/>
        <w:outlineLvl w:val="0"/>
        <w:rPr>
          <w:b/>
          <w:bCs/>
          <w:sz w:val="24"/>
          <w:szCs w:val="24"/>
        </w:rPr>
      </w:pPr>
      <w:r w:rsidRPr="007D317F">
        <w:rPr>
          <w:b/>
          <w:bCs/>
          <w:sz w:val="24"/>
          <w:szCs w:val="24"/>
        </w:rPr>
        <w:lastRenderedPageBreak/>
        <w:t>Working Condition Fringe Benefits</w:t>
      </w:r>
    </w:p>
    <w:p w14:paraId="1B27876B" w14:textId="62E64BEB" w:rsidR="00161B30" w:rsidRDefault="00906912" w:rsidP="004E1A04">
      <w:pPr>
        <w:ind w:right="360"/>
        <w:rPr>
          <w:sz w:val="24"/>
          <w:szCs w:val="24"/>
        </w:rPr>
      </w:pPr>
      <w:r>
        <w:rPr>
          <w:sz w:val="24"/>
          <w:szCs w:val="24"/>
        </w:rPr>
        <w:t>Employees may exclude from income any property or services provided by the employer that would be excluded from income anyway.</w:t>
      </w:r>
    </w:p>
    <w:p w14:paraId="50786C2B" w14:textId="1BCFE6DA" w:rsidR="00906912" w:rsidRPr="00CF50A9" w:rsidRDefault="00380373" w:rsidP="004E1A04">
      <w:pPr>
        <w:pStyle w:val="ListParagraph"/>
        <w:numPr>
          <w:ilvl w:val="0"/>
          <w:numId w:val="38"/>
        </w:numPr>
        <w:ind w:right="360"/>
        <w:rPr>
          <w:b/>
          <w:bCs/>
          <w:sz w:val="24"/>
          <w:szCs w:val="24"/>
        </w:rPr>
      </w:pPr>
      <w:r>
        <w:rPr>
          <w:sz w:val="24"/>
          <w:szCs w:val="24"/>
        </w:rPr>
        <w:t>E</w:t>
      </w:r>
      <w:r w:rsidR="00906912" w:rsidRPr="00CF50A9">
        <w:rPr>
          <w:sz w:val="24"/>
          <w:szCs w:val="24"/>
        </w:rPr>
        <w:t>xample</w:t>
      </w:r>
      <w:r>
        <w:rPr>
          <w:sz w:val="24"/>
          <w:szCs w:val="24"/>
        </w:rPr>
        <w:t>s</w:t>
      </w:r>
      <w:r w:rsidR="00906912" w:rsidRPr="00CF50A9">
        <w:rPr>
          <w:sz w:val="24"/>
          <w:szCs w:val="24"/>
        </w:rPr>
        <w:t xml:space="preserve">: </w:t>
      </w:r>
      <w:r>
        <w:rPr>
          <w:sz w:val="24"/>
          <w:szCs w:val="24"/>
        </w:rPr>
        <w:t>U</w:t>
      </w:r>
      <w:r w:rsidR="00906912" w:rsidRPr="00CF50A9">
        <w:rPr>
          <w:sz w:val="24"/>
          <w:szCs w:val="24"/>
        </w:rPr>
        <w:t>se of company car for business</w:t>
      </w:r>
      <w:r w:rsidR="00906912">
        <w:rPr>
          <w:sz w:val="24"/>
          <w:szCs w:val="24"/>
        </w:rPr>
        <w:t xml:space="preserve"> or</w:t>
      </w:r>
      <w:r w:rsidR="00906912" w:rsidRPr="00CF50A9">
        <w:rPr>
          <w:sz w:val="24"/>
          <w:szCs w:val="24"/>
        </w:rPr>
        <w:t xml:space="preserve"> subscription to an appropriate professional journal (</w:t>
      </w:r>
      <w:r>
        <w:rPr>
          <w:sz w:val="24"/>
          <w:szCs w:val="24"/>
        </w:rPr>
        <w:t>e.g.</w:t>
      </w:r>
      <w:r w:rsidR="00906912" w:rsidRPr="00CF50A9">
        <w:rPr>
          <w:sz w:val="24"/>
          <w:szCs w:val="24"/>
        </w:rPr>
        <w:t>, a tax journal for a CPA firm)</w:t>
      </w:r>
    </w:p>
    <w:p w14:paraId="78496E83" w14:textId="77777777" w:rsidR="00906912" w:rsidRDefault="00906912" w:rsidP="004E1A04">
      <w:pPr>
        <w:ind w:right="360"/>
        <w:jc w:val="both"/>
        <w:rPr>
          <w:b/>
          <w:bCs/>
          <w:i/>
          <w:sz w:val="24"/>
          <w:szCs w:val="24"/>
        </w:rPr>
      </w:pPr>
    </w:p>
    <w:p w14:paraId="3421830A" w14:textId="77777777" w:rsidR="00906912" w:rsidRDefault="00906912" w:rsidP="004E1A04">
      <w:pPr>
        <w:ind w:right="360"/>
        <w:jc w:val="both"/>
        <w:outlineLvl w:val="0"/>
        <w:rPr>
          <w:b/>
          <w:bCs/>
          <w:sz w:val="24"/>
          <w:szCs w:val="24"/>
        </w:rPr>
      </w:pPr>
      <w:r w:rsidRPr="004E1A04">
        <w:rPr>
          <w:b/>
          <w:bCs/>
          <w:sz w:val="24"/>
          <w:szCs w:val="24"/>
        </w:rPr>
        <w:t>De Minimis</w:t>
      </w:r>
      <w:r>
        <w:rPr>
          <w:b/>
          <w:bCs/>
          <w:sz w:val="24"/>
          <w:szCs w:val="24"/>
        </w:rPr>
        <w:t xml:space="preserve"> Fringe Benefits</w:t>
      </w:r>
    </w:p>
    <w:p w14:paraId="04ACDC65" w14:textId="77777777" w:rsidR="00906912" w:rsidRDefault="00906912" w:rsidP="004E1A04">
      <w:pPr>
        <w:ind w:right="360"/>
        <w:rPr>
          <w:sz w:val="24"/>
          <w:szCs w:val="24"/>
        </w:rPr>
      </w:pPr>
      <w:r>
        <w:rPr>
          <w:sz w:val="24"/>
          <w:szCs w:val="24"/>
        </w:rPr>
        <w:t xml:space="preserve">Some benefits are so minimal that accounting for them is impractical.  </w:t>
      </w:r>
    </w:p>
    <w:p w14:paraId="768FC649" w14:textId="04DB29DA" w:rsidR="00906912" w:rsidRPr="003E4007" w:rsidRDefault="00875C44" w:rsidP="004E1A04">
      <w:pPr>
        <w:pStyle w:val="ListParagraph"/>
        <w:numPr>
          <w:ilvl w:val="0"/>
          <w:numId w:val="38"/>
        </w:numPr>
        <w:ind w:right="360"/>
        <w:rPr>
          <w:sz w:val="24"/>
          <w:szCs w:val="24"/>
        </w:rPr>
      </w:pPr>
      <w:r>
        <w:rPr>
          <w:sz w:val="24"/>
          <w:szCs w:val="24"/>
        </w:rPr>
        <w:t>E</w:t>
      </w:r>
      <w:r w:rsidR="00906912">
        <w:rPr>
          <w:sz w:val="24"/>
          <w:szCs w:val="24"/>
        </w:rPr>
        <w:t>xample</w:t>
      </w:r>
      <w:r>
        <w:rPr>
          <w:sz w:val="24"/>
          <w:szCs w:val="24"/>
        </w:rPr>
        <w:t>s</w:t>
      </w:r>
      <w:r w:rsidR="00906912">
        <w:rPr>
          <w:sz w:val="24"/>
          <w:szCs w:val="24"/>
        </w:rPr>
        <w:t xml:space="preserve">: </w:t>
      </w:r>
      <w:r>
        <w:rPr>
          <w:sz w:val="24"/>
          <w:szCs w:val="24"/>
        </w:rPr>
        <w:t>O</w:t>
      </w:r>
      <w:r w:rsidR="00906912" w:rsidRPr="003E4007">
        <w:rPr>
          <w:sz w:val="24"/>
          <w:szCs w:val="24"/>
        </w:rPr>
        <w:t xml:space="preserve">ccasional use of office equipment for personal use, Christmas turkeys, picnics, etc.  </w:t>
      </w:r>
    </w:p>
    <w:p w14:paraId="04B6D62F" w14:textId="77777777" w:rsidR="00906912" w:rsidRDefault="00906912" w:rsidP="004E1A04">
      <w:pPr>
        <w:ind w:right="360"/>
        <w:jc w:val="both"/>
        <w:rPr>
          <w:sz w:val="24"/>
          <w:szCs w:val="24"/>
        </w:rPr>
      </w:pPr>
    </w:p>
    <w:p w14:paraId="75437FB2" w14:textId="77777777" w:rsidR="00906912" w:rsidRDefault="00906912" w:rsidP="004E1A04">
      <w:pPr>
        <w:ind w:right="36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Tuition Reduction</w:t>
      </w:r>
    </w:p>
    <w:p w14:paraId="3986B977" w14:textId="77777777" w:rsidR="00906912" w:rsidRDefault="00906912" w:rsidP="004E1A04">
      <w:pPr>
        <w:ind w:right="360"/>
        <w:rPr>
          <w:sz w:val="24"/>
          <w:szCs w:val="24"/>
        </w:rPr>
      </w:pPr>
      <w:r>
        <w:rPr>
          <w:sz w:val="24"/>
          <w:szCs w:val="24"/>
        </w:rPr>
        <w:t xml:space="preserve">Employees of educational institutions can exclude the value of a tuition reduction from their income if it was for undergraduate work and is available to all employees.  </w:t>
      </w:r>
    </w:p>
    <w:p w14:paraId="0085CFFE" w14:textId="413C7922" w:rsidR="00906912" w:rsidRDefault="00906912" w:rsidP="004E1A04">
      <w:pPr>
        <w:pStyle w:val="ListParagraph"/>
        <w:numPr>
          <w:ilvl w:val="0"/>
          <w:numId w:val="39"/>
        </w:numPr>
        <w:ind w:right="360"/>
        <w:rPr>
          <w:sz w:val="24"/>
          <w:szCs w:val="24"/>
        </w:rPr>
      </w:pPr>
      <w:r>
        <w:rPr>
          <w:sz w:val="24"/>
          <w:szCs w:val="24"/>
        </w:rPr>
        <w:t>E</w:t>
      </w:r>
      <w:r w:rsidRPr="003E4007">
        <w:rPr>
          <w:sz w:val="24"/>
          <w:szCs w:val="24"/>
        </w:rPr>
        <w:t xml:space="preserve">xclusion applies to employees, </w:t>
      </w:r>
      <w:r w:rsidR="00606B65">
        <w:rPr>
          <w:sz w:val="24"/>
          <w:szCs w:val="24"/>
        </w:rPr>
        <w:t xml:space="preserve">their </w:t>
      </w:r>
      <w:r w:rsidRPr="003E4007">
        <w:rPr>
          <w:sz w:val="24"/>
          <w:szCs w:val="24"/>
        </w:rPr>
        <w:t xml:space="preserve">spouses, and </w:t>
      </w:r>
      <w:r w:rsidR="00606B65">
        <w:rPr>
          <w:sz w:val="24"/>
          <w:szCs w:val="24"/>
        </w:rPr>
        <w:t xml:space="preserve">their </w:t>
      </w:r>
      <w:r w:rsidRPr="003E4007">
        <w:rPr>
          <w:sz w:val="24"/>
          <w:szCs w:val="24"/>
        </w:rPr>
        <w:t xml:space="preserve">dependents if a tuition reduction plan exists for them. </w:t>
      </w:r>
    </w:p>
    <w:p w14:paraId="2888FADF" w14:textId="77777777" w:rsidR="00906912" w:rsidRPr="003E4007" w:rsidRDefault="00906912" w:rsidP="004E1A04">
      <w:pPr>
        <w:pStyle w:val="ListParagraph"/>
        <w:numPr>
          <w:ilvl w:val="0"/>
          <w:numId w:val="39"/>
        </w:numPr>
        <w:ind w:right="360"/>
        <w:rPr>
          <w:sz w:val="24"/>
          <w:szCs w:val="24"/>
        </w:rPr>
      </w:pPr>
      <w:r w:rsidRPr="003E4007">
        <w:rPr>
          <w:sz w:val="24"/>
          <w:szCs w:val="24"/>
        </w:rPr>
        <w:t>Graduate students can only exclude tuition reductions if they work at the same school where they are teaching or doing research.</w:t>
      </w:r>
    </w:p>
    <w:p w14:paraId="2A0D0E50" w14:textId="77777777" w:rsidR="00906912" w:rsidRDefault="00906912" w:rsidP="004E1A04">
      <w:pPr>
        <w:ind w:right="360"/>
        <w:rPr>
          <w:sz w:val="24"/>
          <w:szCs w:val="24"/>
        </w:rPr>
      </w:pPr>
    </w:p>
    <w:p w14:paraId="51EAD51C" w14:textId="77777777" w:rsidR="00906912" w:rsidRDefault="00906912" w:rsidP="004E1A04">
      <w:pPr>
        <w:ind w:right="36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Athletic Facilities</w:t>
      </w:r>
    </w:p>
    <w:p w14:paraId="38FE84A7" w14:textId="319C3B6D" w:rsidR="00906912" w:rsidRDefault="00906912" w:rsidP="004E1A04">
      <w:pPr>
        <w:rPr>
          <w:sz w:val="24"/>
          <w:szCs w:val="24"/>
        </w:rPr>
      </w:pPr>
      <w:r>
        <w:rPr>
          <w:sz w:val="24"/>
          <w:szCs w:val="24"/>
        </w:rPr>
        <w:t>Employees may exclude from gross income the value of the use of an athletic facility located onsite</w:t>
      </w:r>
      <w:r w:rsidR="00DD37AE">
        <w:rPr>
          <w:sz w:val="24"/>
          <w:szCs w:val="24"/>
        </w:rPr>
        <w:t>.</w:t>
      </w:r>
    </w:p>
    <w:p w14:paraId="1733C500" w14:textId="77777777" w:rsidR="00906912" w:rsidRDefault="00906912" w:rsidP="004E1A04">
      <w:pPr>
        <w:ind w:right="360"/>
      </w:pPr>
    </w:p>
    <w:p w14:paraId="38194BAB" w14:textId="77777777" w:rsidR="00906912" w:rsidRDefault="00906912" w:rsidP="004E1A04">
      <w:pPr>
        <w:ind w:right="36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Retirement Planning Fringe Benefit</w:t>
      </w:r>
    </w:p>
    <w:p w14:paraId="3D78C194" w14:textId="66E148C4" w:rsidR="00906912" w:rsidRDefault="00906912" w:rsidP="004E1A04">
      <w:pPr>
        <w:ind w:right="360"/>
        <w:rPr>
          <w:sz w:val="24"/>
          <w:szCs w:val="24"/>
        </w:rPr>
      </w:pPr>
      <w:r>
        <w:rPr>
          <w:sz w:val="24"/>
          <w:szCs w:val="24"/>
        </w:rPr>
        <w:t>Qualified retirement planning services are any retirement planning services provided to an employee and his</w:t>
      </w:r>
      <w:r w:rsidR="00606B65">
        <w:rPr>
          <w:sz w:val="24"/>
          <w:szCs w:val="24"/>
        </w:rPr>
        <w:t xml:space="preserve"> or </w:t>
      </w:r>
      <w:r>
        <w:rPr>
          <w:sz w:val="24"/>
          <w:szCs w:val="24"/>
        </w:rPr>
        <w:t xml:space="preserve">her spouse by an employer maintaining a “qualified employer plan.”  </w:t>
      </w:r>
    </w:p>
    <w:p w14:paraId="5CA7182A" w14:textId="3E6C3EF3" w:rsidR="00906912" w:rsidRDefault="00906912" w:rsidP="004E1A04">
      <w:pPr>
        <w:pStyle w:val="ListParagraph"/>
        <w:numPr>
          <w:ilvl w:val="0"/>
          <w:numId w:val="62"/>
        </w:numPr>
        <w:ind w:right="360"/>
      </w:pPr>
      <w:r w:rsidRPr="00161B30">
        <w:rPr>
          <w:sz w:val="24"/>
          <w:szCs w:val="24"/>
        </w:rPr>
        <w:t xml:space="preserve">The exclusion </w:t>
      </w:r>
      <w:r w:rsidRPr="00161B30">
        <w:rPr>
          <w:i/>
          <w:sz w:val="24"/>
          <w:szCs w:val="24"/>
        </w:rPr>
        <w:t>does not apply</w:t>
      </w:r>
      <w:r w:rsidRPr="00161B30">
        <w:rPr>
          <w:sz w:val="24"/>
          <w:szCs w:val="24"/>
        </w:rPr>
        <w:t xml:space="preserve"> to services that may be related to tax preparation, accounting, legal</w:t>
      </w:r>
      <w:r w:rsidR="00606B65">
        <w:rPr>
          <w:sz w:val="24"/>
          <w:szCs w:val="24"/>
        </w:rPr>
        <w:t>,</w:t>
      </w:r>
      <w:r w:rsidRPr="00161B30">
        <w:rPr>
          <w:sz w:val="24"/>
          <w:szCs w:val="24"/>
        </w:rPr>
        <w:t xml:space="preserve"> or brokerage services. </w:t>
      </w:r>
    </w:p>
    <w:p w14:paraId="50130FB9" w14:textId="77777777" w:rsidR="0021240B" w:rsidRDefault="0021240B" w:rsidP="004E1A04">
      <w:pPr>
        <w:rPr>
          <w:b/>
          <w:bCs/>
          <w:sz w:val="24"/>
          <w:szCs w:val="24"/>
        </w:rPr>
      </w:pPr>
    </w:p>
    <w:p w14:paraId="2117E6FD" w14:textId="3F612C8B" w:rsidR="00906912" w:rsidRDefault="00906912" w:rsidP="004E1A04">
      <w:pPr>
        <w:keepNext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 2.6</w:t>
      </w:r>
      <w:r>
        <w:rPr>
          <w:b/>
          <w:bCs/>
          <w:sz w:val="24"/>
          <w:szCs w:val="24"/>
          <w:u w:val="single"/>
        </w:rPr>
        <w:tab/>
        <w:t>Prizes and Awards</w:t>
      </w:r>
    </w:p>
    <w:p w14:paraId="2D054A08" w14:textId="77777777" w:rsidR="00906912" w:rsidRPr="00B76B00" w:rsidRDefault="00906912" w:rsidP="004E1A04">
      <w:pPr>
        <w:keepNext/>
        <w:rPr>
          <w:sz w:val="24"/>
          <w:szCs w:val="24"/>
        </w:rPr>
      </w:pPr>
      <w:r w:rsidRPr="00B76B00">
        <w:rPr>
          <w:sz w:val="24"/>
          <w:szCs w:val="24"/>
        </w:rPr>
        <w:t xml:space="preserve">Prizes and awards are taxable income to the recipient.  </w:t>
      </w:r>
    </w:p>
    <w:p w14:paraId="3EF5F1BE" w14:textId="77777777" w:rsidR="00906912" w:rsidRDefault="00906912" w:rsidP="004E1A04">
      <w:pPr>
        <w:pStyle w:val="ListParagraph"/>
        <w:keepNext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Other</w:t>
      </w:r>
      <w:r w:rsidRPr="00B76B00">
        <w:rPr>
          <w:sz w:val="24"/>
          <w:szCs w:val="24"/>
        </w:rPr>
        <w:t xml:space="preserve"> awards are also generally taxable, even if they are awards given for accomplishments and without solicitation by the taxpayer.</w:t>
      </w:r>
    </w:p>
    <w:p w14:paraId="7C47E1E2" w14:textId="77777777" w:rsidR="00906912" w:rsidRDefault="00906912" w:rsidP="004E1A04">
      <w:pPr>
        <w:pStyle w:val="ListParagraph"/>
        <w:keepNext/>
        <w:numPr>
          <w:ilvl w:val="0"/>
          <w:numId w:val="31"/>
        </w:numPr>
        <w:rPr>
          <w:sz w:val="24"/>
          <w:szCs w:val="24"/>
        </w:rPr>
      </w:pPr>
      <w:r w:rsidRPr="00B76B00">
        <w:rPr>
          <w:sz w:val="24"/>
          <w:szCs w:val="24"/>
        </w:rPr>
        <w:t>Certain employee achievement awards made in recog</w:t>
      </w:r>
      <w:r w:rsidRPr="00B76B00">
        <w:rPr>
          <w:sz w:val="24"/>
          <w:szCs w:val="24"/>
        </w:rPr>
        <w:softHyphen/>
        <w:t xml:space="preserve">nition of length of service or safety achievement can be excluded from income. </w:t>
      </w:r>
    </w:p>
    <w:p w14:paraId="6CB18F76" w14:textId="59B7BE34" w:rsidR="00906912" w:rsidRDefault="00906912" w:rsidP="004E1A04">
      <w:pPr>
        <w:pStyle w:val="ListParagraph"/>
        <w:keepNext/>
        <w:numPr>
          <w:ilvl w:val="1"/>
          <w:numId w:val="31"/>
        </w:numPr>
        <w:rPr>
          <w:sz w:val="24"/>
          <w:szCs w:val="24"/>
        </w:rPr>
      </w:pPr>
      <w:r w:rsidRPr="00B76B00">
        <w:rPr>
          <w:sz w:val="24"/>
          <w:szCs w:val="24"/>
        </w:rPr>
        <w:t>As a rule, the maximum excludable amount is $400</w:t>
      </w:r>
      <w:r w:rsidR="00606B65">
        <w:rPr>
          <w:sz w:val="24"/>
          <w:szCs w:val="24"/>
        </w:rPr>
        <w:t>.</w:t>
      </w:r>
    </w:p>
    <w:p w14:paraId="72D9A583" w14:textId="0FB0CB7D" w:rsidR="00906912" w:rsidRPr="00B76B00" w:rsidRDefault="00906912" w:rsidP="004E1A04">
      <w:pPr>
        <w:pStyle w:val="ListParagraph"/>
        <w:keepNext/>
        <w:numPr>
          <w:ilvl w:val="1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B76B00">
        <w:rPr>
          <w:sz w:val="24"/>
          <w:szCs w:val="24"/>
        </w:rPr>
        <w:t xml:space="preserve">ut if the award is given through a </w:t>
      </w:r>
      <w:r w:rsidR="00380373">
        <w:rPr>
          <w:sz w:val="24"/>
          <w:szCs w:val="24"/>
        </w:rPr>
        <w:t>“</w:t>
      </w:r>
      <w:r w:rsidRPr="00B76B00">
        <w:rPr>
          <w:sz w:val="24"/>
          <w:szCs w:val="24"/>
        </w:rPr>
        <w:t>qualified plan</w:t>
      </w:r>
      <w:r w:rsidR="00380373">
        <w:rPr>
          <w:sz w:val="24"/>
          <w:szCs w:val="24"/>
        </w:rPr>
        <w:t>”</w:t>
      </w:r>
      <w:r w:rsidRPr="00B76B00">
        <w:rPr>
          <w:sz w:val="24"/>
          <w:szCs w:val="24"/>
        </w:rPr>
        <w:t xml:space="preserve"> the maximum exclusion increases to $1,600.</w:t>
      </w:r>
    </w:p>
    <w:p w14:paraId="4573FDEC" w14:textId="77777777" w:rsidR="00906912" w:rsidRDefault="00906912" w:rsidP="004E1A04">
      <w:pPr>
        <w:keepNext/>
        <w:rPr>
          <w:b/>
          <w:bCs/>
          <w:sz w:val="24"/>
          <w:szCs w:val="24"/>
          <w:u w:val="single"/>
        </w:rPr>
      </w:pPr>
    </w:p>
    <w:p w14:paraId="11F04A77" w14:textId="206B46ED" w:rsidR="00906912" w:rsidRDefault="00906912" w:rsidP="004E1A04">
      <w:pPr>
        <w:keepNext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 2.7</w:t>
      </w:r>
      <w:r>
        <w:rPr>
          <w:b/>
          <w:bCs/>
          <w:sz w:val="24"/>
          <w:szCs w:val="24"/>
          <w:u w:val="single"/>
        </w:rPr>
        <w:tab/>
        <w:t>Annuities</w:t>
      </w:r>
    </w:p>
    <w:p w14:paraId="4A6564F0" w14:textId="0C7B3BD3" w:rsidR="00906912" w:rsidRPr="004E1A04" w:rsidRDefault="00906912" w:rsidP="004E1A04">
      <w:pPr>
        <w:tabs>
          <w:tab w:val="left" w:pos="2420"/>
        </w:tabs>
        <w:rPr>
          <w:sz w:val="24"/>
          <w:szCs w:val="24"/>
        </w:rPr>
      </w:pPr>
      <w:r w:rsidRPr="004E1A04">
        <w:rPr>
          <w:sz w:val="24"/>
          <w:szCs w:val="24"/>
        </w:rPr>
        <w:t>An annuity is an investment that pays periodic payments to the purchaser for the remainder of his</w:t>
      </w:r>
      <w:r w:rsidR="00606B65">
        <w:rPr>
          <w:sz w:val="24"/>
          <w:szCs w:val="24"/>
        </w:rPr>
        <w:t xml:space="preserve"> or </w:t>
      </w:r>
      <w:r w:rsidRPr="004E1A04">
        <w:rPr>
          <w:sz w:val="24"/>
          <w:szCs w:val="24"/>
        </w:rPr>
        <w:t xml:space="preserve">her life.  </w:t>
      </w:r>
    </w:p>
    <w:p w14:paraId="2EDE1D63" w14:textId="69B4A35A" w:rsidR="00906912" w:rsidRDefault="00906912" w:rsidP="004E1A04">
      <w:pPr>
        <w:pStyle w:val="ListParagraph"/>
        <w:numPr>
          <w:ilvl w:val="0"/>
          <w:numId w:val="32"/>
        </w:numPr>
        <w:tabs>
          <w:tab w:val="left" w:pos="2420"/>
        </w:tabs>
        <w:rPr>
          <w:sz w:val="24"/>
          <w:szCs w:val="24"/>
        </w:rPr>
      </w:pPr>
      <w:r w:rsidRPr="003E4007">
        <w:rPr>
          <w:sz w:val="24"/>
          <w:szCs w:val="24"/>
        </w:rPr>
        <w:t xml:space="preserve">Standard mortality tables, based on the current age of the annuitant, are used to </w:t>
      </w:r>
      <w:r>
        <w:rPr>
          <w:sz w:val="24"/>
          <w:szCs w:val="24"/>
        </w:rPr>
        <w:t>calculate</w:t>
      </w:r>
      <w:r w:rsidR="0005795E">
        <w:rPr>
          <w:sz w:val="24"/>
          <w:szCs w:val="24"/>
        </w:rPr>
        <w:t xml:space="preserve"> the annuity amount.</w:t>
      </w:r>
    </w:p>
    <w:p w14:paraId="1A1A1C69" w14:textId="77777777" w:rsidR="00906912" w:rsidRDefault="00906912" w:rsidP="004E1A04">
      <w:pPr>
        <w:pStyle w:val="ListParagraph"/>
        <w:numPr>
          <w:ilvl w:val="0"/>
          <w:numId w:val="32"/>
        </w:numPr>
        <w:tabs>
          <w:tab w:val="left" w:pos="2420"/>
        </w:tabs>
        <w:rPr>
          <w:sz w:val="24"/>
          <w:szCs w:val="24"/>
        </w:rPr>
      </w:pPr>
      <w:r>
        <w:rPr>
          <w:sz w:val="24"/>
          <w:szCs w:val="24"/>
        </w:rPr>
        <w:t>Each annuity payment received contains an element of taxable income and an element of tax-free return of the original purchase price.</w:t>
      </w:r>
    </w:p>
    <w:p w14:paraId="76C09985" w14:textId="5DF21AC4" w:rsidR="00906912" w:rsidRDefault="00906912" w:rsidP="004E1A04">
      <w:pPr>
        <w:pStyle w:val="ListParagraph"/>
        <w:numPr>
          <w:ilvl w:val="0"/>
          <w:numId w:val="32"/>
        </w:numPr>
        <w:tabs>
          <w:tab w:val="left" w:pos="24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To calculate the taxable portion of the payment, the tax law provides two methods</w:t>
      </w:r>
      <w:r w:rsidR="0005795E">
        <w:rPr>
          <w:sz w:val="24"/>
          <w:szCs w:val="24"/>
        </w:rPr>
        <w:t>.</w:t>
      </w:r>
    </w:p>
    <w:p w14:paraId="6CE08AEC" w14:textId="77777777" w:rsidR="00906912" w:rsidRDefault="00906912" w:rsidP="004E1A04">
      <w:pPr>
        <w:tabs>
          <w:tab w:val="left" w:pos="72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7D3E77C4" w14:textId="77777777" w:rsidR="00906912" w:rsidRPr="004E1A04" w:rsidRDefault="00906912" w:rsidP="004E1A04">
      <w:pPr>
        <w:outlineLvl w:val="0"/>
        <w:rPr>
          <w:b/>
          <w:sz w:val="24"/>
          <w:szCs w:val="24"/>
        </w:rPr>
      </w:pPr>
      <w:r w:rsidRPr="004E1A04">
        <w:rPr>
          <w:b/>
          <w:sz w:val="24"/>
          <w:szCs w:val="24"/>
        </w:rPr>
        <w:t>The Simplified Method</w:t>
      </w:r>
    </w:p>
    <w:p w14:paraId="60859A1B" w14:textId="1616915A" w:rsidR="00906912" w:rsidRPr="003E4007" w:rsidRDefault="00906912" w:rsidP="004E1A04">
      <w:pPr>
        <w:rPr>
          <w:sz w:val="24"/>
          <w:szCs w:val="24"/>
        </w:rPr>
      </w:pPr>
      <w:r w:rsidRPr="003E4007">
        <w:rPr>
          <w:sz w:val="24"/>
          <w:szCs w:val="24"/>
        </w:rPr>
        <w:t xml:space="preserve">Taxpayers are generally required to use the </w:t>
      </w:r>
      <w:r w:rsidR="0005795E">
        <w:rPr>
          <w:sz w:val="24"/>
          <w:szCs w:val="24"/>
        </w:rPr>
        <w:t>“</w:t>
      </w:r>
      <w:r w:rsidRPr="003E4007">
        <w:rPr>
          <w:sz w:val="24"/>
          <w:szCs w:val="24"/>
        </w:rPr>
        <w:t>simplified</w:t>
      </w:r>
      <w:r w:rsidR="0005795E">
        <w:rPr>
          <w:sz w:val="24"/>
          <w:szCs w:val="24"/>
        </w:rPr>
        <w:t>”</w:t>
      </w:r>
      <w:r w:rsidRPr="003E4007">
        <w:rPr>
          <w:sz w:val="24"/>
          <w:szCs w:val="24"/>
        </w:rPr>
        <w:t xml:space="preserve"> method to calculate the taxable amount of annuities started </w:t>
      </w:r>
      <w:r w:rsidRPr="004E1A04">
        <w:rPr>
          <w:sz w:val="24"/>
          <w:szCs w:val="24"/>
        </w:rPr>
        <w:t>after November 18, 1996.</w:t>
      </w:r>
      <w:r w:rsidRPr="003E4007">
        <w:rPr>
          <w:sz w:val="24"/>
          <w:szCs w:val="24"/>
        </w:rPr>
        <w:t xml:space="preserve"> </w:t>
      </w:r>
    </w:p>
    <w:p w14:paraId="0075DA0D" w14:textId="3FB87918" w:rsidR="00906912" w:rsidRDefault="00906912" w:rsidP="004E1A04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E4007">
        <w:rPr>
          <w:i/>
          <w:sz w:val="24"/>
          <w:szCs w:val="24"/>
        </w:rPr>
        <w:t>Note</w:t>
      </w:r>
      <w:r w:rsidRPr="003E4007">
        <w:rPr>
          <w:sz w:val="24"/>
          <w:szCs w:val="24"/>
        </w:rPr>
        <w:t>: Nonqualified plan annuit</w:t>
      </w:r>
      <w:r w:rsidR="0005795E">
        <w:rPr>
          <w:sz w:val="24"/>
          <w:szCs w:val="24"/>
        </w:rPr>
        <w:t>ies</w:t>
      </w:r>
      <w:r w:rsidRPr="003E4007">
        <w:rPr>
          <w:sz w:val="24"/>
          <w:szCs w:val="24"/>
        </w:rPr>
        <w:t xml:space="preserve"> and some annuitants age 75 and over still have to use the general rule rather than the simplified method.  </w:t>
      </w:r>
    </w:p>
    <w:p w14:paraId="443AC8D7" w14:textId="230A617E" w:rsidR="00906912" w:rsidRPr="003E4007" w:rsidRDefault="00906912" w:rsidP="004E1A04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3E4007">
        <w:rPr>
          <w:sz w:val="24"/>
          <w:szCs w:val="24"/>
        </w:rPr>
        <w:t>To calculate the taxable amount, the IRS provides a Simplified Method Worksheet. The exclusion ratio is calculated at the start of the annuity and remains constant.</w:t>
      </w:r>
    </w:p>
    <w:p w14:paraId="1E37A8B7" w14:textId="77777777" w:rsidR="00906912" w:rsidRDefault="00906912" w:rsidP="004E1A04">
      <w:pPr>
        <w:rPr>
          <w:sz w:val="24"/>
          <w:szCs w:val="24"/>
        </w:rPr>
      </w:pPr>
    </w:p>
    <w:p w14:paraId="585033CB" w14:textId="77777777" w:rsidR="00906912" w:rsidRPr="004E1A04" w:rsidRDefault="00906912" w:rsidP="004E1A04">
      <w:pPr>
        <w:outlineLvl w:val="0"/>
        <w:rPr>
          <w:b/>
          <w:sz w:val="24"/>
          <w:szCs w:val="24"/>
        </w:rPr>
      </w:pPr>
      <w:r w:rsidRPr="004E1A04">
        <w:rPr>
          <w:b/>
          <w:sz w:val="24"/>
          <w:szCs w:val="24"/>
        </w:rPr>
        <w:t>The General Rule</w:t>
      </w:r>
    </w:p>
    <w:p w14:paraId="17DFDF3F" w14:textId="31DDEE02" w:rsidR="00906912" w:rsidRDefault="00906912" w:rsidP="004E1A04">
      <w:pPr>
        <w:rPr>
          <w:sz w:val="24"/>
          <w:szCs w:val="24"/>
        </w:rPr>
      </w:pPr>
      <w:r>
        <w:rPr>
          <w:sz w:val="24"/>
          <w:szCs w:val="24"/>
        </w:rPr>
        <w:t xml:space="preserve">Prior to implementing the simplified method, the general rule </w:t>
      </w:r>
      <w:r w:rsidR="0005795E">
        <w:rPr>
          <w:sz w:val="24"/>
          <w:szCs w:val="24"/>
        </w:rPr>
        <w:t>was</w:t>
      </w:r>
      <w:r>
        <w:rPr>
          <w:sz w:val="24"/>
          <w:szCs w:val="24"/>
        </w:rPr>
        <w:t xml:space="preserve"> used to calculate the amount excluded for most annuities. The calculation </w:t>
      </w:r>
      <w:r w:rsidR="0005795E">
        <w:rPr>
          <w:sz w:val="24"/>
          <w:szCs w:val="24"/>
        </w:rPr>
        <w:t xml:space="preserve">for the excluded amount </w:t>
      </w:r>
      <w:r>
        <w:rPr>
          <w:sz w:val="24"/>
          <w:szCs w:val="24"/>
        </w:rPr>
        <w:t>is as follows:</w:t>
      </w:r>
    </w:p>
    <w:p w14:paraId="028427F7" w14:textId="77777777" w:rsidR="00906912" w:rsidRDefault="00906912" w:rsidP="004E1A04">
      <w:pPr>
        <w:rPr>
          <w:b/>
          <w:bCs/>
          <w:sz w:val="24"/>
          <w:szCs w:val="24"/>
        </w:rPr>
      </w:pPr>
    </w:p>
    <w:p w14:paraId="22FDEB6D" w14:textId="6A88F479" w:rsidR="00906912" w:rsidRPr="004E1A04" w:rsidRDefault="00906912" w:rsidP="004E1A04">
      <w:pPr>
        <w:ind w:firstLine="720"/>
        <w:rPr>
          <w:bCs/>
          <w:sz w:val="22"/>
          <w:szCs w:val="22"/>
        </w:rPr>
      </w:pPr>
      <w:r w:rsidRPr="004E1A04">
        <w:rPr>
          <w:bCs/>
          <w:sz w:val="22"/>
          <w:szCs w:val="22"/>
          <w:u w:val="single"/>
        </w:rPr>
        <w:t xml:space="preserve">   </w:t>
      </w:r>
      <w:r w:rsidR="00161B30">
        <w:rPr>
          <w:bCs/>
          <w:sz w:val="22"/>
          <w:szCs w:val="22"/>
          <w:u w:val="single"/>
        </w:rPr>
        <w:t xml:space="preserve">    </w:t>
      </w:r>
      <w:r w:rsidRPr="004E1A04">
        <w:rPr>
          <w:bCs/>
          <w:sz w:val="22"/>
          <w:szCs w:val="22"/>
          <w:u w:val="single"/>
        </w:rPr>
        <w:t xml:space="preserve">Investment in </w:t>
      </w:r>
      <w:r w:rsidR="00161B30">
        <w:rPr>
          <w:bCs/>
          <w:sz w:val="22"/>
          <w:szCs w:val="22"/>
          <w:u w:val="single"/>
        </w:rPr>
        <w:t>c</w:t>
      </w:r>
      <w:r w:rsidRPr="004E1A04">
        <w:rPr>
          <w:bCs/>
          <w:sz w:val="22"/>
          <w:szCs w:val="22"/>
          <w:u w:val="single"/>
        </w:rPr>
        <w:t>ontract</w:t>
      </w:r>
      <w:r w:rsidR="00161B30">
        <w:rPr>
          <w:bCs/>
          <w:sz w:val="22"/>
          <w:szCs w:val="22"/>
          <w:u w:val="single"/>
        </w:rPr>
        <w:t xml:space="preserve">    </w:t>
      </w:r>
      <w:r w:rsidRPr="004E1A04">
        <w:rPr>
          <w:bCs/>
          <w:sz w:val="22"/>
          <w:szCs w:val="22"/>
          <w:u w:val="single"/>
        </w:rPr>
        <w:t xml:space="preserve">   </w:t>
      </w:r>
      <w:r w:rsidRPr="004E1A04">
        <w:rPr>
          <w:bCs/>
          <w:sz w:val="22"/>
          <w:szCs w:val="22"/>
        </w:rPr>
        <w:t xml:space="preserve">   </w:t>
      </w:r>
      <w:r w:rsidR="00161B30">
        <w:rPr>
          <w:bCs/>
          <w:sz w:val="22"/>
          <w:szCs w:val="22"/>
        </w:rPr>
        <w:t>×</w:t>
      </w:r>
      <w:r w:rsidRPr="004E1A04">
        <w:rPr>
          <w:bCs/>
          <w:sz w:val="22"/>
          <w:szCs w:val="22"/>
        </w:rPr>
        <w:t xml:space="preserve"> Amount </w:t>
      </w:r>
      <w:r w:rsidR="00161B30">
        <w:rPr>
          <w:bCs/>
          <w:sz w:val="22"/>
          <w:szCs w:val="22"/>
        </w:rPr>
        <w:t>r</w:t>
      </w:r>
      <w:r w:rsidRPr="004E1A04">
        <w:rPr>
          <w:bCs/>
          <w:sz w:val="22"/>
          <w:szCs w:val="22"/>
        </w:rPr>
        <w:t xml:space="preserve">eceived = Excluded </w:t>
      </w:r>
      <w:r w:rsidR="00161B30">
        <w:rPr>
          <w:bCs/>
          <w:sz w:val="22"/>
          <w:szCs w:val="22"/>
        </w:rPr>
        <w:t>a</w:t>
      </w:r>
      <w:r w:rsidRPr="004E1A04">
        <w:rPr>
          <w:bCs/>
          <w:sz w:val="22"/>
          <w:szCs w:val="22"/>
        </w:rPr>
        <w:t>mount</w:t>
      </w:r>
    </w:p>
    <w:p w14:paraId="023D6D06" w14:textId="5629A4AC" w:rsidR="00906912" w:rsidRPr="004E1A04" w:rsidRDefault="00906912" w:rsidP="004E1A04">
      <w:pPr>
        <w:ind w:firstLine="720"/>
        <w:outlineLvl w:val="0"/>
        <w:rPr>
          <w:bCs/>
          <w:sz w:val="22"/>
          <w:szCs w:val="22"/>
        </w:rPr>
      </w:pPr>
      <w:r w:rsidRPr="004E1A04">
        <w:rPr>
          <w:bCs/>
          <w:sz w:val="22"/>
          <w:szCs w:val="22"/>
        </w:rPr>
        <w:t xml:space="preserve">Annual </w:t>
      </w:r>
      <w:r w:rsidR="00161B30">
        <w:rPr>
          <w:bCs/>
          <w:sz w:val="22"/>
          <w:szCs w:val="22"/>
        </w:rPr>
        <w:t>p</w:t>
      </w:r>
      <w:r w:rsidRPr="004E1A04">
        <w:rPr>
          <w:bCs/>
          <w:sz w:val="22"/>
          <w:szCs w:val="22"/>
        </w:rPr>
        <w:t xml:space="preserve">ayment </w:t>
      </w:r>
      <w:r w:rsidR="00161B30">
        <w:rPr>
          <w:bCs/>
          <w:sz w:val="22"/>
          <w:szCs w:val="22"/>
        </w:rPr>
        <w:t>×</w:t>
      </w:r>
      <w:r w:rsidRPr="004E1A04">
        <w:rPr>
          <w:bCs/>
          <w:sz w:val="22"/>
          <w:szCs w:val="22"/>
        </w:rPr>
        <w:t xml:space="preserve"> Life </w:t>
      </w:r>
      <w:r w:rsidR="00161B30">
        <w:rPr>
          <w:bCs/>
          <w:sz w:val="22"/>
          <w:szCs w:val="22"/>
        </w:rPr>
        <w:t>e</w:t>
      </w:r>
      <w:r w:rsidRPr="004E1A04">
        <w:rPr>
          <w:bCs/>
          <w:sz w:val="22"/>
          <w:szCs w:val="22"/>
        </w:rPr>
        <w:t>xpectancy</w:t>
      </w:r>
    </w:p>
    <w:p w14:paraId="098C410C" w14:textId="77777777" w:rsidR="00906912" w:rsidRPr="004E1A04" w:rsidRDefault="00906912" w:rsidP="004E1A04">
      <w:pPr>
        <w:rPr>
          <w:bCs/>
          <w:sz w:val="24"/>
          <w:szCs w:val="24"/>
        </w:rPr>
      </w:pPr>
    </w:p>
    <w:p w14:paraId="64A80FDF" w14:textId="77777777" w:rsidR="00906912" w:rsidRPr="004E1A04" w:rsidRDefault="00906912" w:rsidP="004E1A04">
      <w:pPr>
        <w:outlineLvl w:val="0"/>
        <w:rPr>
          <w:b/>
          <w:sz w:val="24"/>
          <w:szCs w:val="24"/>
        </w:rPr>
      </w:pPr>
      <w:r w:rsidRPr="004E1A04">
        <w:rPr>
          <w:b/>
          <w:sz w:val="24"/>
          <w:szCs w:val="24"/>
        </w:rPr>
        <w:t xml:space="preserve">Employee Annuities </w:t>
      </w:r>
    </w:p>
    <w:p w14:paraId="1E75DCC9" w14:textId="77777777" w:rsidR="00906912" w:rsidRPr="00543991" w:rsidRDefault="00906912" w:rsidP="004E1A04">
      <w:pPr>
        <w:rPr>
          <w:sz w:val="24"/>
          <w:szCs w:val="24"/>
        </w:rPr>
      </w:pPr>
      <w:r>
        <w:rPr>
          <w:sz w:val="24"/>
          <w:szCs w:val="24"/>
        </w:rPr>
        <w:t xml:space="preserve">If an employer makes periodic payments to a retirement annuity on behalf of an employee and the payments are made to a qualified retirement plan, </w:t>
      </w:r>
      <w:r w:rsidRPr="004E1A04">
        <w:rPr>
          <w:sz w:val="24"/>
          <w:szCs w:val="24"/>
        </w:rPr>
        <w:t>the contributions by the employer are not taxable to the employee</w:t>
      </w:r>
      <w:r w:rsidRPr="00543991">
        <w:rPr>
          <w:sz w:val="24"/>
          <w:szCs w:val="24"/>
        </w:rPr>
        <w:t xml:space="preserve">. </w:t>
      </w:r>
    </w:p>
    <w:p w14:paraId="2AA3BC19" w14:textId="169F4FAD" w:rsidR="00906912" w:rsidRDefault="00906912" w:rsidP="004E1A04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3E4007">
        <w:rPr>
          <w:sz w:val="24"/>
          <w:szCs w:val="24"/>
        </w:rPr>
        <w:t>Because the contri</w:t>
      </w:r>
      <w:r w:rsidRPr="003E4007">
        <w:rPr>
          <w:sz w:val="24"/>
          <w:szCs w:val="24"/>
        </w:rPr>
        <w:softHyphen/>
        <w:t>butions are not taxable when they are made, they are not considered part of the employee</w:t>
      </w:r>
      <w:r w:rsidR="00C1263A">
        <w:rPr>
          <w:sz w:val="24"/>
          <w:szCs w:val="24"/>
        </w:rPr>
        <w:t>’</w:t>
      </w:r>
      <w:r w:rsidRPr="003E4007">
        <w:rPr>
          <w:sz w:val="24"/>
          <w:szCs w:val="24"/>
        </w:rPr>
        <w:t>s investment in the contract when calculating the exclusion ratio.</w:t>
      </w:r>
    </w:p>
    <w:p w14:paraId="013ADE54" w14:textId="77777777" w:rsidR="00F574EA" w:rsidRDefault="00F574EA" w:rsidP="004E1A04">
      <w:pPr>
        <w:rPr>
          <w:sz w:val="24"/>
          <w:szCs w:val="24"/>
        </w:rPr>
      </w:pPr>
    </w:p>
    <w:p w14:paraId="25562598" w14:textId="07C31AAE" w:rsidR="000A76E0" w:rsidRDefault="000A76E0" w:rsidP="004E1A04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Learning Objective 2.8 </w:t>
      </w:r>
      <w:r>
        <w:rPr>
          <w:b/>
          <w:bCs/>
          <w:sz w:val="24"/>
          <w:szCs w:val="24"/>
          <w:u w:val="single"/>
        </w:rPr>
        <w:tab/>
        <w:t>Life Insurance</w:t>
      </w:r>
    </w:p>
    <w:p w14:paraId="74ED0192" w14:textId="77777777" w:rsidR="000A76E0" w:rsidRDefault="000A76E0" w:rsidP="004E1A04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Life insurance proceeds are excluded from gross income.  </w:t>
      </w:r>
    </w:p>
    <w:p w14:paraId="43623793" w14:textId="77777777" w:rsidR="000A76E0" w:rsidRDefault="000A76E0" w:rsidP="004E1A04">
      <w:pPr>
        <w:pStyle w:val="ListParagraph"/>
        <w:numPr>
          <w:ilvl w:val="0"/>
          <w:numId w:val="35"/>
        </w:numPr>
        <w:rPr>
          <w:rFonts w:eastAsia="Arial Unicode MS"/>
          <w:sz w:val="24"/>
          <w:szCs w:val="24"/>
        </w:rPr>
      </w:pPr>
      <w:r w:rsidRPr="003E4007">
        <w:rPr>
          <w:rFonts w:eastAsia="Arial Unicode MS"/>
          <w:sz w:val="24"/>
          <w:szCs w:val="24"/>
        </w:rPr>
        <w:t xml:space="preserve">To be excluded, proceeds must be paid to the beneficiary by reason of the death of the insured. </w:t>
      </w:r>
    </w:p>
    <w:p w14:paraId="29FACDDB" w14:textId="77777777" w:rsidR="000A76E0" w:rsidRDefault="000A76E0" w:rsidP="004E1A04">
      <w:pPr>
        <w:pStyle w:val="ListParagraph"/>
        <w:numPr>
          <w:ilvl w:val="1"/>
          <w:numId w:val="35"/>
        </w:numPr>
        <w:rPr>
          <w:rFonts w:eastAsia="Arial Unicode MS"/>
          <w:sz w:val="24"/>
          <w:szCs w:val="24"/>
        </w:rPr>
      </w:pPr>
      <w:r w:rsidRPr="003E4007">
        <w:rPr>
          <w:rFonts w:eastAsia="Arial Unicode MS"/>
          <w:sz w:val="24"/>
          <w:szCs w:val="24"/>
        </w:rPr>
        <w:t>If the proceeds are taken over several years instead of in a lump sum, the insurance company pays interest on the unpaid proceeds. The interest is generally taxable income</w:t>
      </w:r>
    </w:p>
    <w:p w14:paraId="15B82107" w14:textId="1545957C" w:rsidR="000A76E0" w:rsidRPr="003E4007" w:rsidRDefault="000A76E0" w:rsidP="004E1A04">
      <w:pPr>
        <w:pStyle w:val="ListParagraph"/>
        <w:numPr>
          <w:ilvl w:val="0"/>
          <w:numId w:val="35"/>
        </w:numPr>
        <w:rPr>
          <w:rFonts w:eastAsia="Arial Unicode MS"/>
          <w:sz w:val="24"/>
          <w:szCs w:val="24"/>
        </w:rPr>
      </w:pPr>
      <w:r w:rsidRPr="003E4007">
        <w:rPr>
          <w:sz w:val="24"/>
          <w:szCs w:val="24"/>
        </w:rPr>
        <w:t xml:space="preserve">Early payouts of life insurance </w:t>
      </w:r>
      <w:r>
        <w:rPr>
          <w:sz w:val="24"/>
          <w:szCs w:val="24"/>
        </w:rPr>
        <w:t>are excludable</w:t>
      </w:r>
      <w:r w:rsidR="00E03EC0">
        <w:rPr>
          <w:sz w:val="24"/>
          <w:szCs w:val="24"/>
        </w:rPr>
        <w:t>.</w:t>
      </w:r>
    </w:p>
    <w:p w14:paraId="53D7D48C" w14:textId="77777777" w:rsidR="000A76E0" w:rsidRPr="003E4007" w:rsidRDefault="000A76E0" w:rsidP="004E1A04">
      <w:pPr>
        <w:pStyle w:val="ListParagraph"/>
        <w:numPr>
          <w:ilvl w:val="0"/>
          <w:numId w:val="35"/>
        </w:numPr>
        <w:rPr>
          <w:rFonts w:eastAsia="Arial Unicode MS"/>
          <w:sz w:val="24"/>
          <w:szCs w:val="24"/>
        </w:rPr>
      </w:pPr>
      <w:r>
        <w:rPr>
          <w:sz w:val="24"/>
          <w:szCs w:val="24"/>
        </w:rPr>
        <w:t xml:space="preserve">Payouts from </w:t>
      </w:r>
      <w:r w:rsidRPr="003E4007">
        <w:rPr>
          <w:sz w:val="24"/>
          <w:szCs w:val="24"/>
        </w:rPr>
        <w:t>viatical settlements can be excluded from gross income</w:t>
      </w:r>
      <w:r>
        <w:rPr>
          <w:sz w:val="24"/>
          <w:szCs w:val="24"/>
        </w:rPr>
        <w:t>:</w:t>
      </w:r>
      <w:r w:rsidRPr="003E4007">
        <w:rPr>
          <w:sz w:val="24"/>
          <w:szCs w:val="24"/>
        </w:rPr>
        <w:t xml:space="preserve"> </w:t>
      </w:r>
    </w:p>
    <w:p w14:paraId="1A01D1E2" w14:textId="29846A33" w:rsidR="000A76E0" w:rsidRPr="003E4007" w:rsidRDefault="000A76E0" w:rsidP="004E1A04">
      <w:pPr>
        <w:pStyle w:val="ListParagraph"/>
        <w:numPr>
          <w:ilvl w:val="1"/>
          <w:numId w:val="35"/>
        </w:numPr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F</w:t>
      </w:r>
      <w:r w:rsidRPr="003E4007">
        <w:rPr>
          <w:sz w:val="24"/>
          <w:szCs w:val="24"/>
        </w:rPr>
        <w:t xml:space="preserve">or </w:t>
      </w:r>
      <w:r w:rsidR="00E03EC0">
        <w:rPr>
          <w:sz w:val="24"/>
          <w:szCs w:val="24"/>
        </w:rPr>
        <w:t xml:space="preserve">certain </w:t>
      </w:r>
      <w:r w:rsidRPr="003E4007">
        <w:rPr>
          <w:sz w:val="24"/>
          <w:szCs w:val="24"/>
        </w:rPr>
        <w:t xml:space="preserve">terminally ill taxpayers and </w:t>
      </w:r>
    </w:p>
    <w:p w14:paraId="52DD8878" w14:textId="78C0569E" w:rsidR="000A76E0" w:rsidRPr="003E4007" w:rsidRDefault="000A76E0" w:rsidP="004E1A04">
      <w:pPr>
        <w:pStyle w:val="ListParagraph"/>
        <w:numPr>
          <w:ilvl w:val="1"/>
          <w:numId w:val="35"/>
        </w:numPr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F</w:t>
      </w:r>
      <w:r w:rsidRPr="003E4007">
        <w:rPr>
          <w:sz w:val="24"/>
          <w:szCs w:val="24"/>
        </w:rPr>
        <w:t>or chronically ill taxpayer</w:t>
      </w:r>
      <w:r w:rsidR="00E03EC0">
        <w:rPr>
          <w:sz w:val="24"/>
          <w:szCs w:val="24"/>
        </w:rPr>
        <w:t>s</w:t>
      </w:r>
      <w:r w:rsidRPr="003E4007">
        <w:rPr>
          <w:sz w:val="24"/>
          <w:szCs w:val="24"/>
        </w:rPr>
        <w:t xml:space="preserve"> to extent proceeds </w:t>
      </w:r>
      <w:r w:rsidR="00E03EC0">
        <w:rPr>
          <w:sz w:val="24"/>
          <w:szCs w:val="24"/>
        </w:rPr>
        <w:t xml:space="preserve">to </w:t>
      </w:r>
      <w:r w:rsidRPr="003E4007">
        <w:rPr>
          <w:sz w:val="24"/>
          <w:szCs w:val="24"/>
        </w:rPr>
        <w:t xml:space="preserve">pay for long-term care.  </w:t>
      </w:r>
    </w:p>
    <w:p w14:paraId="17C9345F" w14:textId="05C7E323" w:rsidR="000A76E0" w:rsidRPr="003E4007" w:rsidRDefault="000A76E0" w:rsidP="004E1A04">
      <w:pPr>
        <w:pStyle w:val="ListParagraph"/>
        <w:numPr>
          <w:ilvl w:val="2"/>
          <w:numId w:val="35"/>
        </w:numPr>
        <w:rPr>
          <w:rFonts w:eastAsia="Arial Unicode MS"/>
          <w:sz w:val="24"/>
          <w:szCs w:val="24"/>
        </w:rPr>
      </w:pPr>
      <w:r w:rsidRPr="003E4007">
        <w:rPr>
          <w:sz w:val="24"/>
          <w:szCs w:val="24"/>
        </w:rPr>
        <w:t>These exclusions require certification by a</w:t>
      </w:r>
      <w:r w:rsidR="00E03EC0">
        <w:rPr>
          <w:sz w:val="24"/>
          <w:szCs w:val="24"/>
        </w:rPr>
        <w:t xml:space="preserve"> medical doctor</w:t>
      </w:r>
      <w:r w:rsidRPr="003E4007">
        <w:rPr>
          <w:sz w:val="24"/>
          <w:szCs w:val="24"/>
        </w:rPr>
        <w:t>.</w:t>
      </w:r>
    </w:p>
    <w:p w14:paraId="114F2087" w14:textId="551C6837" w:rsidR="00FE37D3" w:rsidRPr="00F574EA" w:rsidRDefault="00EF4B08" w:rsidP="004E1A04">
      <w:pPr>
        <w:numPr>
          <w:ilvl w:val="0"/>
          <w:numId w:val="35"/>
        </w:numPr>
        <w:rPr>
          <w:sz w:val="24"/>
          <w:szCs w:val="24"/>
        </w:rPr>
      </w:pPr>
      <w:r w:rsidRPr="00F574EA">
        <w:rPr>
          <w:sz w:val="24"/>
          <w:szCs w:val="24"/>
        </w:rPr>
        <w:t xml:space="preserve">If </w:t>
      </w:r>
      <w:r w:rsidR="00E03EC0">
        <w:rPr>
          <w:sz w:val="24"/>
          <w:szCs w:val="24"/>
        </w:rPr>
        <w:t xml:space="preserve">a </w:t>
      </w:r>
      <w:r w:rsidRPr="00F574EA">
        <w:rPr>
          <w:sz w:val="24"/>
          <w:szCs w:val="24"/>
        </w:rPr>
        <w:t xml:space="preserve">policy is transferred for value, then all or part of the proceeds may be taxable to </w:t>
      </w:r>
      <w:r w:rsidR="00E03EC0">
        <w:rPr>
          <w:sz w:val="24"/>
          <w:szCs w:val="24"/>
        </w:rPr>
        <w:t xml:space="preserve">the </w:t>
      </w:r>
      <w:r w:rsidRPr="00F574EA">
        <w:rPr>
          <w:sz w:val="24"/>
          <w:szCs w:val="24"/>
        </w:rPr>
        <w:t>recipient.</w:t>
      </w:r>
    </w:p>
    <w:p w14:paraId="6F397DEF" w14:textId="2E7258BF" w:rsidR="00F574EA" w:rsidRPr="004E1A04" w:rsidRDefault="00E83378" w:rsidP="004E1A04">
      <w:pPr>
        <w:pStyle w:val="ListParagraph"/>
        <w:numPr>
          <w:ilvl w:val="0"/>
          <w:numId w:val="68"/>
        </w:numPr>
        <w:ind w:left="1440"/>
        <w:rPr>
          <w:sz w:val="24"/>
          <w:szCs w:val="24"/>
        </w:rPr>
      </w:pPr>
      <w:r w:rsidRPr="004E1A04">
        <w:rPr>
          <w:bCs/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F574EA" w:rsidRPr="004E1A04">
        <w:rPr>
          <w:sz w:val="24"/>
          <w:szCs w:val="24"/>
        </w:rPr>
        <w:t xml:space="preserve">roceeds </w:t>
      </w:r>
      <w:r>
        <w:rPr>
          <w:sz w:val="24"/>
          <w:szCs w:val="24"/>
        </w:rPr>
        <w:t>at the</w:t>
      </w:r>
      <w:r w:rsidR="00F574EA" w:rsidRPr="004E1A04">
        <w:rPr>
          <w:sz w:val="24"/>
          <w:szCs w:val="24"/>
        </w:rPr>
        <w:t xml:space="preserve"> death of </w:t>
      </w:r>
      <w:r>
        <w:rPr>
          <w:sz w:val="24"/>
          <w:szCs w:val="24"/>
        </w:rPr>
        <w:t xml:space="preserve">the </w:t>
      </w:r>
      <w:r w:rsidR="00F574EA" w:rsidRPr="004E1A04">
        <w:rPr>
          <w:sz w:val="24"/>
          <w:szCs w:val="24"/>
        </w:rPr>
        <w:t>insured</w:t>
      </w:r>
      <w:r>
        <w:rPr>
          <w:sz w:val="24"/>
          <w:szCs w:val="24"/>
        </w:rPr>
        <w:t xml:space="preserve"> are taxable to the extent they exceed the c</w:t>
      </w:r>
      <w:r w:rsidR="00F574EA" w:rsidRPr="004E1A04">
        <w:rPr>
          <w:sz w:val="24"/>
          <w:szCs w:val="24"/>
        </w:rPr>
        <w:t xml:space="preserve">ash surrender value </w:t>
      </w:r>
      <w:r>
        <w:rPr>
          <w:sz w:val="24"/>
          <w:szCs w:val="24"/>
        </w:rPr>
        <w:t xml:space="preserve">of the policy </w:t>
      </w:r>
      <w:r w:rsidR="00F574EA" w:rsidRPr="004E1A04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the </w:t>
      </w:r>
      <w:r w:rsidR="00F574EA" w:rsidRPr="004E1A04">
        <w:rPr>
          <w:sz w:val="24"/>
          <w:szCs w:val="24"/>
        </w:rPr>
        <w:t xml:space="preserve">time </w:t>
      </w:r>
      <w:r>
        <w:rPr>
          <w:sz w:val="24"/>
          <w:szCs w:val="24"/>
        </w:rPr>
        <w:t>it was</w:t>
      </w:r>
      <w:r w:rsidR="00F574EA" w:rsidRPr="004E1A04">
        <w:rPr>
          <w:sz w:val="24"/>
          <w:szCs w:val="24"/>
        </w:rPr>
        <w:t xml:space="preserve"> transfer</w:t>
      </w:r>
      <w:r>
        <w:rPr>
          <w:sz w:val="24"/>
          <w:szCs w:val="24"/>
        </w:rPr>
        <w:t>red, plus the amount of the insurance p</w:t>
      </w:r>
      <w:r w:rsidR="00F574EA" w:rsidRPr="004E1A04">
        <w:rPr>
          <w:sz w:val="24"/>
          <w:szCs w:val="24"/>
        </w:rPr>
        <w:t xml:space="preserve">remiums paid by </w:t>
      </w:r>
      <w:r>
        <w:rPr>
          <w:sz w:val="24"/>
          <w:szCs w:val="24"/>
        </w:rPr>
        <w:t xml:space="preserve">the </w:t>
      </w:r>
      <w:r w:rsidR="00F574EA" w:rsidRPr="004E1A04">
        <w:rPr>
          <w:sz w:val="24"/>
          <w:szCs w:val="24"/>
        </w:rPr>
        <w:t>purchaser</w:t>
      </w:r>
      <w:r>
        <w:rPr>
          <w:sz w:val="24"/>
          <w:szCs w:val="24"/>
        </w:rPr>
        <w:t>.</w:t>
      </w:r>
    </w:p>
    <w:p w14:paraId="0BA11F35" w14:textId="21214011" w:rsidR="00FE37D3" w:rsidRPr="004E1A04" w:rsidRDefault="00EF4B08" w:rsidP="004E1A04">
      <w:pPr>
        <w:pStyle w:val="ListParagraph"/>
        <w:numPr>
          <w:ilvl w:val="0"/>
          <w:numId w:val="63"/>
        </w:numPr>
        <w:ind w:left="1440"/>
        <w:rPr>
          <w:sz w:val="24"/>
          <w:szCs w:val="24"/>
        </w:rPr>
      </w:pPr>
      <w:r w:rsidRPr="004E1A04">
        <w:rPr>
          <w:sz w:val="24"/>
          <w:szCs w:val="24"/>
        </w:rPr>
        <w:t xml:space="preserve">Exception: </w:t>
      </w:r>
      <w:r w:rsidR="00E83378">
        <w:rPr>
          <w:sz w:val="24"/>
          <w:szCs w:val="24"/>
        </w:rPr>
        <w:t>T</w:t>
      </w:r>
      <w:r w:rsidRPr="004E1A04">
        <w:rPr>
          <w:sz w:val="24"/>
          <w:szCs w:val="24"/>
        </w:rPr>
        <w:t>ransfer</w:t>
      </w:r>
      <w:r w:rsidR="00E83378">
        <w:rPr>
          <w:sz w:val="24"/>
          <w:szCs w:val="24"/>
        </w:rPr>
        <w:t>s</w:t>
      </w:r>
      <w:r w:rsidRPr="004E1A04">
        <w:rPr>
          <w:sz w:val="24"/>
          <w:szCs w:val="24"/>
        </w:rPr>
        <w:t xml:space="preserve"> to </w:t>
      </w:r>
      <w:r w:rsidR="00E83378">
        <w:rPr>
          <w:sz w:val="24"/>
          <w:szCs w:val="24"/>
        </w:rPr>
        <w:t xml:space="preserve">a </w:t>
      </w:r>
      <w:r w:rsidRPr="004E1A04">
        <w:rPr>
          <w:sz w:val="24"/>
          <w:szCs w:val="24"/>
        </w:rPr>
        <w:t xml:space="preserve">partner of </w:t>
      </w:r>
      <w:r w:rsidR="00E83378">
        <w:rPr>
          <w:sz w:val="24"/>
          <w:szCs w:val="24"/>
        </w:rPr>
        <w:t xml:space="preserve">the </w:t>
      </w:r>
      <w:r w:rsidRPr="004E1A04">
        <w:rPr>
          <w:sz w:val="24"/>
          <w:szCs w:val="24"/>
        </w:rPr>
        <w:t xml:space="preserve">insured, a partnership in which </w:t>
      </w:r>
      <w:r w:rsidR="00E83378">
        <w:rPr>
          <w:sz w:val="24"/>
          <w:szCs w:val="24"/>
        </w:rPr>
        <w:t xml:space="preserve">the </w:t>
      </w:r>
      <w:r w:rsidRPr="004E1A04">
        <w:rPr>
          <w:sz w:val="24"/>
          <w:szCs w:val="24"/>
        </w:rPr>
        <w:t>insured is a partner</w:t>
      </w:r>
      <w:r w:rsidR="00E83378">
        <w:rPr>
          <w:sz w:val="24"/>
          <w:szCs w:val="24"/>
        </w:rPr>
        <w:t>,</w:t>
      </w:r>
      <w:r w:rsidRPr="004E1A04">
        <w:rPr>
          <w:sz w:val="24"/>
          <w:szCs w:val="24"/>
        </w:rPr>
        <w:t xml:space="preserve"> or a corporation in which </w:t>
      </w:r>
      <w:r w:rsidR="00E83378">
        <w:rPr>
          <w:sz w:val="24"/>
          <w:szCs w:val="24"/>
        </w:rPr>
        <w:t xml:space="preserve">the </w:t>
      </w:r>
      <w:r w:rsidRPr="004E1A04">
        <w:rPr>
          <w:sz w:val="24"/>
          <w:szCs w:val="24"/>
        </w:rPr>
        <w:t>insured is an officer</w:t>
      </w:r>
      <w:r w:rsidR="00E83378">
        <w:rPr>
          <w:sz w:val="24"/>
          <w:szCs w:val="24"/>
        </w:rPr>
        <w:t xml:space="preserve"> or a shareholder do not </w:t>
      </w:r>
      <w:proofErr w:type="gramStart"/>
      <w:r w:rsidR="00E83378">
        <w:rPr>
          <w:sz w:val="24"/>
          <w:szCs w:val="24"/>
        </w:rPr>
        <w:t>cause</w:t>
      </w:r>
      <w:proofErr w:type="gramEnd"/>
      <w:r w:rsidR="00E83378">
        <w:rPr>
          <w:sz w:val="24"/>
          <w:szCs w:val="24"/>
        </w:rPr>
        <w:t xml:space="preserve"> </w:t>
      </w:r>
      <w:r w:rsidRPr="004E1A04">
        <w:rPr>
          <w:sz w:val="24"/>
          <w:szCs w:val="24"/>
        </w:rPr>
        <w:t xml:space="preserve">the policy proceeds </w:t>
      </w:r>
      <w:r w:rsidR="00E83378">
        <w:rPr>
          <w:sz w:val="24"/>
          <w:szCs w:val="24"/>
        </w:rPr>
        <w:t>to be</w:t>
      </w:r>
      <w:r w:rsidRPr="004E1A04">
        <w:rPr>
          <w:sz w:val="24"/>
          <w:szCs w:val="24"/>
        </w:rPr>
        <w:t xml:space="preserve"> taxable.</w:t>
      </w:r>
    </w:p>
    <w:p w14:paraId="4C853E3C" w14:textId="77777777" w:rsidR="00ED303B" w:rsidRDefault="00ED303B" w:rsidP="004E1A04">
      <w:pPr>
        <w:rPr>
          <w:sz w:val="24"/>
          <w:szCs w:val="24"/>
        </w:rPr>
      </w:pPr>
    </w:p>
    <w:p w14:paraId="63E698F5" w14:textId="6E7E52EE" w:rsidR="00A8201D" w:rsidRDefault="004548CF" w:rsidP="004E1A04">
      <w:pPr>
        <w:keepNext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Learning Objective</w:t>
      </w:r>
      <w:r w:rsidR="000A76E0">
        <w:rPr>
          <w:b/>
          <w:bCs/>
          <w:sz w:val="24"/>
          <w:szCs w:val="24"/>
          <w:u w:val="single"/>
        </w:rPr>
        <w:t xml:space="preserve"> 2.9</w:t>
      </w:r>
      <w:r w:rsidR="00DE452E">
        <w:rPr>
          <w:b/>
          <w:bCs/>
          <w:sz w:val="24"/>
          <w:szCs w:val="24"/>
          <w:u w:val="single"/>
        </w:rPr>
        <w:tab/>
      </w:r>
      <w:r w:rsidR="00A8201D">
        <w:rPr>
          <w:b/>
          <w:bCs/>
          <w:sz w:val="24"/>
          <w:szCs w:val="24"/>
          <w:u w:val="single"/>
        </w:rPr>
        <w:t>Interest and Dividend Income</w:t>
      </w:r>
    </w:p>
    <w:p w14:paraId="2086CF4A" w14:textId="77777777" w:rsidR="003F7085" w:rsidRDefault="00A55A77" w:rsidP="004E1A04">
      <w:pPr>
        <w:rPr>
          <w:sz w:val="24"/>
          <w:szCs w:val="24"/>
        </w:rPr>
      </w:pPr>
      <w:r>
        <w:rPr>
          <w:sz w:val="24"/>
          <w:szCs w:val="24"/>
        </w:rPr>
        <w:t xml:space="preserve">Interest and dividend income is part of gross income.  </w:t>
      </w:r>
    </w:p>
    <w:p w14:paraId="6ECB0D04" w14:textId="77FA58CA" w:rsidR="00B12954" w:rsidRDefault="00016845" w:rsidP="004E1A0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55A77" w:rsidRPr="00B12954">
        <w:rPr>
          <w:sz w:val="24"/>
          <w:szCs w:val="24"/>
        </w:rPr>
        <w:t xml:space="preserve"> taxpayer </w:t>
      </w:r>
      <w:r>
        <w:rPr>
          <w:sz w:val="24"/>
          <w:szCs w:val="24"/>
        </w:rPr>
        <w:t xml:space="preserve">who </w:t>
      </w:r>
      <w:r w:rsidR="00A55A77" w:rsidRPr="00B12954">
        <w:rPr>
          <w:sz w:val="24"/>
          <w:szCs w:val="24"/>
        </w:rPr>
        <w:t xml:space="preserve">earns </w:t>
      </w:r>
      <w:r w:rsidRPr="00B12954">
        <w:rPr>
          <w:sz w:val="24"/>
          <w:szCs w:val="24"/>
        </w:rPr>
        <w:t xml:space="preserve">more </w:t>
      </w:r>
      <w:r>
        <w:rPr>
          <w:sz w:val="24"/>
          <w:szCs w:val="24"/>
        </w:rPr>
        <w:t xml:space="preserve">than </w:t>
      </w:r>
      <w:r w:rsidR="00A55A77" w:rsidRPr="00B12954">
        <w:rPr>
          <w:sz w:val="24"/>
          <w:szCs w:val="24"/>
        </w:rPr>
        <w:t xml:space="preserve">$1,500 in interest and dividends </w:t>
      </w:r>
      <w:r w:rsidR="00B12954">
        <w:rPr>
          <w:sz w:val="24"/>
          <w:szCs w:val="24"/>
        </w:rPr>
        <w:t>must file Schedule B</w:t>
      </w:r>
      <w:r>
        <w:rPr>
          <w:sz w:val="24"/>
          <w:szCs w:val="24"/>
        </w:rPr>
        <w:t>.</w:t>
      </w:r>
    </w:p>
    <w:p w14:paraId="0B62D956" w14:textId="77777777" w:rsidR="00A55A77" w:rsidRDefault="00A55A77" w:rsidP="004E1A04">
      <w:pPr>
        <w:rPr>
          <w:sz w:val="24"/>
          <w:szCs w:val="24"/>
        </w:rPr>
      </w:pPr>
    </w:p>
    <w:p w14:paraId="111648B1" w14:textId="23D82D15" w:rsidR="00B12954" w:rsidRPr="004E1A04" w:rsidRDefault="00525701" w:rsidP="004E1A04">
      <w:pPr>
        <w:rPr>
          <w:sz w:val="24"/>
          <w:szCs w:val="24"/>
        </w:rPr>
      </w:pPr>
      <w:r>
        <w:rPr>
          <w:sz w:val="24"/>
          <w:szCs w:val="24"/>
        </w:rPr>
        <w:t>U.</w:t>
      </w:r>
      <w:r w:rsidR="00A55A77">
        <w:rPr>
          <w:sz w:val="24"/>
          <w:szCs w:val="24"/>
        </w:rPr>
        <w:t>S</w:t>
      </w:r>
      <w:r>
        <w:rPr>
          <w:sz w:val="24"/>
          <w:szCs w:val="24"/>
        </w:rPr>
        <w:t>. s</w:t>
      </w:r>
      <w:r w:rsidR="00A55A77">
        <w:rPr>
          <w:sz w:val="24"/>
          <w:szCs w:val="24"/>
        </w:rPr>
        <w:t>avings bonds come in three different forms</w:t>
      </w:r>
      <w:r w:rsidR="003F7085">
        <w:rPr>
          <w:sz w:val="24"/>
          <w:szCs w:val="24"/>
        </w:rPr>
        <w:t>:</w:t>
      </w:r>
      <w:r w:rsidR="00A55A77">
        <w:rPr>
          <w:sz w:val="24"/>
          <w:szCs w:val="24"/>
        </w:rPr>
        <w:t xml:space="preserve"> </w:t>
      </w:r>
      <w:r w:rsidR="00A55A77" w:rsidRPr="004E1A04">
        <w:rPr>
          <w:sz w:val="24"/>
          <w:szCs w:val="24"/>
        </w:rPr>
        <w:t>Series EE, Series HH</w:t>
      </w:r>
      <w:r>
        <w:rPr>
          <w:sz w:val="24"/>
          <w:szCs w:val="24"/>
        </w:rPr>
        <w:t>,</w:t>
      </w:r>
      <w:r w:rsidR="00A55A77" w:rsidRPr="004E1A04">
        <w:rPr>
          <w:sz w:val="24"/>
          <w:szCs w:val="24"/>
        </w:rPr>
        <w:t xml:space="preserve"> and Series I.  </w:t>
      </w:r>
    </w:p>
    <w:p w14:paraId="1EEF6CB8" w14:textId="77777777" w:rsidR="003F7085" w:rsidRDefault="00A55A77" w:rsidP="004E1A04">
      <w:pPr>
        <w:pStyle w:val="ListParagraph"/>
        <w:numPr>
          <w:ilvl w:val="1"/>
          <w:numId w:val="69"/>
        </w:numPr>
        <w:ind w:left="720"/>
        <w:rPr>
          <w:sz w:val="24"/>
          <w:szCs w:val="24"/>
        </w:rPr>
      </w:pPr>
      <w:r w:rsidRPr="003F7085">
        <w:rPr>
          <w:sz w:val="24"/>
          <w:szCs w:val="24"/>
        </w:rPr>
        <w:t xml:space="preserve">Series EE bonds are issued at a discount.  </w:t>
      </w:r>
    </w:p>
    <w:p w14:paraId="622A8E15" w14:textId="37464A3B" w:rsidR="003F7085" w:rsidRDefault="00A55A77" w:rsidP="004E1A04">
      <w:pPr>
        <w:pStyle w:val="ListParagraph"/>
        <w:numPr>
          <w:ilvl w:val="1"/>
          <w:numId w:val="69"/>
        </w:numPr>
        <w:ind w:left="720"/>
        <w:rPr>
          <w:sz w:val="24"/>
          <w:szCs w:val="24"/>
        </w:rPr>
      </w:pPr>
      <w:r w:rsidRPr="003F7085">
        <w:rPr>
          <w:sz w:val="24"/>
          <w:szCs w:val="24"/>
        </w:rPr>
        <w:t xml:space="preserve">Series HH bonds are bonds that have interest paid semiannually.  </w:t>
      </w:r>
    </w:p>
    <w:p w14:paraId="7D03D200" w14:textId="1E9A9DD7" w:rsidR="00161B30" w:rsidRDefault="00A55A77" w:rsidP="004E1A04">
      <w:pPr>
        <w:pStyle w:val="ListParagraph"/>
        <w:numPr>
          <w:ilvl w:val="1"/>
          <w:numId w:val="69"/>
        </w:numPr>
        <w:ind w:left="720"/>
        <w:rPr>
          <w:sz w:val="24"/>
          <w:szCs w:val="24"/>
        </w:rPr>
      </w:pPr>
      <w:r w:rsidRPr="003F7085">
        <w:rPr>
          <w:sz w:val="24"/>
          <w:szCs w:val="24"/>
        </w:rPr>
        <w:t xml:space="preserve">Series I bonds do not pay interest until maturity, but earnings are adjusted for inflation on a semiannual basis.  </w:t>
      </w:r>
    </w:p>
    <w:p w14:paraId="3CF0187A" w14:textId="77777777" w:rsidR="00525701" w:rsidRDefault="00525701" w:rsidP="004E1A04">
      <w:pPr>
        <w:rPr>
          <w:i/>
          <w:sz w:val="24"/>
          <w:szCs w:val="24"/>
        </w:rPr>
      </w:pPr>
    </w:p>
    <w:p w14:paraId="166A454A" w14:textId="2CA603DE" w:rsidR="00DD37AE" w:rsidRPr="004E1A04" w:rsidRDefault="00B12954" w:rsidP="004E1A04">
      <w:pPr>
        <w:rPr>
          <w:bCs/>
          <w:spacing w:val="-4"/>
          <w:sz w:val="24"/>
          <w:szCs w:val="24"/>
        </w:rPr>
      </w:pPr>
      <w:r w:rsidRPr="004E1A04">
        <w:rPr>
          <w:i/>
          <w:spacing w:val="-4"/>
          <w:sz w:val="24"/>
          <w:szCs w:val="24"/>
        </w:rPr>
        <w:t xml:space="preserve">Note: </w:t>
      </w:r>
      <w:r w:rsidR="00A55A77" w:rsidRPr="004E1A04">
        <w:rPr>
          <w:spacing w:val="-4"/>
          <w:sz w:val="24"/>
          <w:szCs w:val="24"/>
        </w:rPr>
        <w:t xml:space="preserve">Cash basis taxpayers report the increase in redemption value </w:t>
      </w:r>
      <w:r w:rsidRPr="004E1A04">
        <w:rPr>
          <w:spacing w:val="-4"/>
          <w:sz w:val="24"/>
          <w:szCs w:val="24"/>
        </w:rPr>
        <w:t>on a Series</w:t>
      </w:r>
      <w:r w:rsidR="00161B30" w:rsidRPr="004E1A04">
        <w:rPr>
          <w:spacing w:val="-4"/>
          <w:sz w:val="24"/>
          <w:szCs w:val="24"/>
        </w:rPr>
        <w:t xml:space="preserve"> </w:t>
      </w:r>
      <w:r w:rsidRPr="004E1A04">
        <w:rPr>
          <w:spacing w:val="-4"/>
          <w:sz w:val="24"/>
          <w:szCs w:val="24"/>
        </w:rPr>
        <w:t>EE or Series I bonds</w:t>
      </w:r>
      <w:r w:rsidR="00525701" w:rsidRPr="004E1A04">
        <w:rPr>
          <w:spacing w:val="-4"/>
          <w:sz w:val="24"/>
          <w:szCs w:val="24"/>
        </w:rPr>
        <w:t>.</w:t>
      </w:r>
    </w:p>
    <w:p w14:paraId="1392AC22" w14:textId="77777777" w:rsidR="00525701" w:rsidRDefault="00525701" w:rsidP="004E1A04">
      <w:pPr>
        <w:widowControl/>
        <w:rPr>
          <w:bCs/>
          <w:sz w:val="24"/>
          <w:szCs w:val="24"/>
        </w:rPr>
      </w:pPr>
    </w:p>
    <w:p w14:paraId="3E350709" w14:textId="7CE25C21" w:rsidR="007B6115" w:rsidRPr="004E1A04" w:rsidRDefault="00342B64" w:rsidP="004E1A04">
      <w:pPr>
        <w:widowControl/>
        <w:rPr>
          <w:bCs/>
          <w:sz w:val="24"/>
          <w:szCs w:val="24"/>
        </w:rPr>
      </w:pPr>
      <w:r w:rsidRPr="004E1A04">
        <w:rPr>
          <w:bCs/>
          <w:sz w:val="24"/>
          <w:szCs w:val="24"/>
        </w:rPr>
        <w:t>Dividends are one type of distribution paid to a taxpayer by a corporation</w:t>
      </w:r>
      <w:r w:rsidR="00525701">
        <w:rPr>
          <w:bCs/>
          <w:sz w:val="24"/>
          <w:szCs w:val="24"/>
        </w:rPr>
        <w:t>.</w:t>
      </w:r>
      <w:r w:rsidR="00B12954" w:rsidRPr="004E1A04">
        <w:rPr>
          <w:bCs/>
          <w:sz w:val="24"/>
          <w:szCs w:val="24"/>
        </w:rPr>
        <w:t xml:space="preserve"> </w:t>
      </w:r>
    </w:p>
    <w:p w14:paraId="42DDDB3B" w14:textId="76876E7C" w:rsidR="003F7085" w:rsidRPr="004E1A04" w:rsidRDefault="007B6115" w:rsidP="004E1A04">
      <w:pPr>
        <w:pStyle w:val="ListParagraph"/>
        <w:widowControl/>
        <w:numPr>
          <w:ilvl w:val="0"/>
          <w:numId w:val="2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342B64" w:rsidRPr="00B12954">
        <w:rPr>
          <w:bCs/>
          <w:sz w:val="24"/>
          <w:szCs w:val="24"/>
        </w:rPr>
        <w:t>ypes of dividends</w:t>
      </w:r>
      <w:r w:rsidR="00525701">
        <w:rPr>
          <w:bCs/>
          <w:sz w:val="24"/>
          <w:szCs w:val="24"/>
        </w:rPr>
        <w:t xml:space="preserve"> include o</w:t>
      </w:r>
      <w:r w:rsidR="00342B64" w:rsidRPr="004E1A04">
        <w:rPr>
          <w:bCs/>
          <w:sz w:val="24"/>
          <w:szCs w:val="24"/>
        </w:rPr>
        <w:t xml:space="preserve">rdinary </w:t>
      </w:r>
      <w:r w:rsidR="00525701">
        <w:rPr>
          <w:bCs/>
          <w:sz w:val="24"/>
          <w:szCs w:val="24"/>
        </w:rPr>
        <w:t xml:space="preserve">and qualified </w:t>
      </w:r>
      <w:r w:rsidR="00342B64" w:rsidRPr="004E1A04">
        <w:rPr>
          <w:bCs/>
          <w:sz w:val="24"/>
          <w:szCs w:val="24"/>
        </w:rPr>
        <w:t>dividends, nontaxable distributions</w:t>
      </w:r>
      <w:r w:rsidR="00525701">
        <w:rPr>
          <w:bCs/>
          <w:sz w:val="24"/>
          <w:szCs w:val="24"/>
        </w:rPr>
        <w:t>,</w:t>
      </w:r>
      <w:r w:rsidR="00342B64" w:rsidRPr="004E1A04">
        <w:rPr>
          <w:bCs/>
          <w:sz w:val="24"/>
          <w:szCs w:val="24"/>
        </w:rPr>
        <w:t xml:space="preserve"> and capital gain distributions.  </w:t>
      </w:r>
    </w:p>
    <w:p w14:paraId="54303A81" w14:textId="77777777" w:rsidR="003F7085" w:rsidRDefault="00B12954" w:rsidP="004E1A04">
      <w:pPr>
        <w:pStyle w:val="ListParagraph"/>
        <w:numPr>
          <w:ilvl w:val="2"/>
          <w:numId w:val="70"/>
        </w:num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>There are</w:t>
      </w:r>
      <w:r w:rsidR="00BA1F18" w:rsidRPr="003F7085">
        <w:rPr>
          <w:bCs/>
          <w:sz w:val="24"/>
          <w:szCs w:val="24"/>
        </w:rPr>
        <w:t xml:space="preserve"> special lower tax rates for qualifying dividends</w:t>
      </w:r>
      <w:r w:rsidR="00470356" w:rsidRPr="003F7085">
        <w:rPr>
          <w:bCs/>
          <w:sz w:val="24"/>
          <w:szCs w:val="24"/>
        </w:rPr>
        <w:t>.</w:t>
      </w:r>
      <w:r w:rsidR="00BA1F18" w:rsidRPr="003F7085">
        <w:rPr>
          <w:bCs/>
          <w:sz w:val="24"/>
          <w:szCs w:val="24"/>
        </w:rPr>
        <w:t xml:space="preserve">  </w:t>
      </w:r>
    </w:p>
    <w:p w14:paraId="5941390F" w14:textId="44A689C0" w:rsidR="00342B64" w:rsidRDefault="00B12954" w:rsidP="004E1A04">
      <w:pPr>
        <w:pStyle w:val="ListParagraph"/>
        <w:numPr>
          <w:ilvl w:val="2"/>
          <w:numId w:val="70"/>
        </w:numPr>
        <w:ind w:left="1440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Note: </w:t>
      </w:r>
      <w:r w:rsidR="00BA1F18" w:rsidRPr="003F7085">
        <w:rPr>
          <w:bCs/>
          <w:sz w:val="24"/>
          <w:szCs w:val="24"/>
        </w:rPr>
        <w:t>Dividends that do not qualify are taxed at ordinary rates.</w:t>
      </w:r>
    </w:p>
    <w:p w14:paraId="3636D841" w14:textId="77777777" w:rsidR="003F7085" w:rsidRDefault="003F7085" w:rsidP="004E1A04">
      <w:pPr>
        <w:keepNext/>
        <w:ind w:left="720"/>
        <w:rPr>
          <w:bCs/>
          <w:sz w:val="24"/>
          <w:szCs w:val="24"/>
        </w:rPr>
      </w:pPr>
    </w:p>
    <w:tbl>
      <w:tblPr>
        <w:tblStyle w:val="TableGrid"/>
        <w:tblW w:w="6210" w:type="dxa"/>
        <w:tblInd w:w="144" w:type="dxa"/>
        <w:tblLook w:val="04A0" w:firstRow="1" w:lastRow="0" w:firstColumn="1" w:lastColumn="0" w:noHBand="0" w:noVBand="1"/>
      </w:tblPr>
      <w:tblGrid>
        <w:gridCol w:w="3150"/>
        <w:gridCol w:w="3060"/>
      </w:tblGrid>
      <w:tr w:rsidR="007B6115" w:rsidRPr="007B6115" w14:paraId="6C0CBE29" w14:textId="77777777" w:rsidTr="004E1A04">
        <w:trPr>
          <w:trHeight w:hRule="exact" w:val="864"/>
        </w:trPr>
        <w:tc>
          <w:tcPr>
            <w:tcW w:w="3150" w:type="dxa"/>
            <w:hideMark/>
          </w:tcPr>
          <w:p w14:paraId="18749726" w14:textId="77777777" w:rsidR="00525701" w:rsidRDefault="00525701" w:rsidP="004E1A04">
            <w:pPr>
              <w:ind w:left="720"/>
              <w:rPr>
                <w:b/>
                <w:bCs/>
                <w:sz w:val="24"/>
                <w:szCs w:val="24"/>
              </w:rPr>
            </w:pPr>
          </w:p>
          <w:p w14:paraId="4BD749DF" w14:textId="77777777" w:rsidR="00525701" w:rsidRDefault="00525701" w:rsidP="004E1A04">
            <w:pPr>
              <w:ind w:left="720"/>
              <w:rPr>
                <w:b/>
                <w:bCs/>
                <w:sz w:val="24"/>
                <w:szCs w:val="24"/>
              </w:rPr>
            </w:pPr>
          </w:p>
          <w:p w14:paraId="71130D5A" w14:textId="77777777" w:rsidR="007B6115" w:rsidRPr="007B6115" w:rsidRDefault="007B6115" w:rsidP="004E1A04">
            <w:pPr>
              <w:ind w:left="720"/>
              <w:rPr>
                <w:bCs/>
                <w:sz w:val="24"/>
                <w:szCs w:val="24"/>
              </w:rPr>
            </w:pPr>
            <w:r w:rsidRPr="007B6115">
              <w:rPr>
                <w:b/>
                <w:bCs/>
                <w:sz w:val="24"/>
                <w:szCs w:val="24"/>
              </w:rPr>
              <w:t>Income Level</w:t>
            </w:r>
          </w:p>
        </w:tc>
        <w:tc>
          <w:tcPr>
            <w:tcW w:w="3060" w:type="dxa"/>
            <w:hideMark/>
          </w:tcPr>
          <w:p w14:paraId="02F42A70" w14:textId="5E6D977F" w:rsidR="007B6115" w:rsidRPr="007B6115" w:rsidRDefault="007B6115" w:rsidP="004E1A04">
            <w:pPr>
              <w:jc w:val="center"/>
              <w:rPr>
                <w:bCs/>
                <w:sz w:val="24"/>
                <w:szCs w:val="24"/>
              </w:rPr>
            </w:pPr>
            <w:r w:rsidRPr="007B6115">
              <w:rPr>
                <w:b/>
                <w:bCs/>
                <w:sz w:val="24"/>
                <w:szCs w:val="24"/>
              </w:rPr>
              <w:t xml:space="preserve">Qualifying </w:t>
            </w:r>
            <w:r w:rsidR="00525701">
              <w:rPr>
                <w:b/>
                <w:bCs/>
                <w:sz w:val="24"/>
                <w:szCs w:val="24"/>
              </w:rPr>
              <w:t>D</w:t>
            </w:r>
            <w:r w:rsidRPr="007B6115">
              <w:rPr>
                <w:b/>
                <w:bCs/>
                <w:sz w:val="24"/>
                <w:szCs w:val="24"/>
              </w:rPr>
              <w:t>ividends</w:t>
            </w:r>
            <w:r w:rsidR="00525701">
              <w:rPr>
                <w:b/>
                <w:bCs/>
                <w:sz w:val="24"/>
                <w:szCs w:val="24"/>
              </w:rPr>
              <w:br/>
            </w:r>
            <w:r w:rsidRPr="007B6115">
              <w:rPr>
                <w:b/>
                <w:bCs/>
                <w:sz w:val="24"/>
                <w:szCs w:val="24"/>
              </w:rPr>
              <w:t xml:space="preserve">and </w:t>
            </w:r>
            <w:r w:rsidR="00525701">
              <w:rPr>
                <w:b/>
                <w:bCs/>
                <w:sz w:val="24"/>
                <w:szCs w:val="24"/>
              </w:rPr>
              <w:t>L</w:t>
            </w:r>
            <w:r w:rsidRPr="007B6115">
              <w:rPr>
                <w:b/>
                <w:bCs/>
                <w:sz w:val="24"/>
                <w:szCs w:val="24"/>
              </w:rPr>
              <w:t>ong-</w:t>
            </w:r>
            <w:r w:rsidR="00525701">
              <w:rPr>
                <w:b/>
                <w:bCs/>
                <w:sz w:val="24"/>
                <w:szCs w:val="24"/>
              </w:rPr>
              <w:t>T</w:t>
            </w:r>
            <w:r w:rsidRPr="007B6115">
              <w:rPr>
                <w:b/>
                <w:bCs/>
                <w:sz w:val="24"/>
                <w:szCs w:val="24"/>
              </w:rPr>
              <w:t xml:space="preserve">erm </w:t>
            </w:r>
            <w:r w:rsidR="00525701">
              <w:rPr>
                <w:b/>
                <w:bCs/>
                <w:sz w:val="24"/>
                <w:szCs w:val="24"/>
              </w:rPr>
              <w:t>C</w:t>
            </w:r>
            <w:r w:rsidRPr="007B6115">
              <w:rPr>
                <w:b/>
                <w:bCs/>
                <w:sz w:val="24"/>
                <w:szCs w:val="24"/>
              </w:rPr>
              <w:t xml:space="preserve">apital </w:t>
            </w:r>
            <w:r w:rsidR="00525701">
              <w:rPr>
                <w:b/>
                <w:bCs/>
                <w:sz w:val="24"/>
                <w:szCs w:val="24"/>
              </w:rPr>
              <w:t>G</w:t>
            </w:r>
            <w:r w:rsidRPr="007B6115">
              <w:rPr>
                <w:b/>
                <w:bCs/>
                <w:sz w:val="24"/>
                <w:szCs w:val="24"/>
              </w:rPr>
              <w:t xml:space="preserve">ains </w:t>
            </w:r>
            <w:r w:rsidR="00525701">
              <w:rPr>
                <w:b/>
                <w:bCs/>
                <w:sz w:val="24"/>
                <w:szCs w:val="24"/>
              </w:rPr>
              <w:t>R</w:t>
            </w:r>
            <w:r w:rsidRPr="007B6115">
              <w:rPr>
                <w:b/>
                <w:bCs/>
                <w:sz w:val="24"/>
                <w:szCs w:val="24"/>
              </w:rPr>
              <w:t>ates*</w:t>
            </w:r>
          </w:p>
        </w:tc>
      </w:tr>
      <w:tr w:rsidR="00525701" w:rsidRPr="007B6115" w14:paraId="52E8CBC2" w14:textId="77777777" w:rsidTr="00380373">
        <w:trPr>
          <w:trHeight w:hRule="exact" w:val="288"/>
        </w:trPr>
        <w:tc>
          <w:tcPr>
            <w:tcW w:w="3150" w:type="dxa"/>
          </w:tcPr>
          <w:p w14:paraId="7D19D6F5" w14:textId="34DA8FBC" w:rsidR="00525701" w:rsidRPr="004E1A04" w:rsidRDefault="00DD218B" w:rsidP="004E1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Married filing jointly:</w:t>
            </w:r>
          </w:p>
        </w:tc>
        <w:tc>
          <w:tcPr>
            <w:tcW w:w="3060" w:type="dxa"/>
          </w:tcPr>
          <w:p w14:paraId="635870B5" w14:textId="77777777" w:rsidR="00525701" w:rsidRPr="007B6115" w:rsidRDefault="00525701" w:rsidP="004E1A04">
            <w:pPr>
              <w:tabs>
                <w:tab w:val="decimal" w:pos="1332"/>
              </w:tabs>
              <w:rPr>
                <w:bCs/>
                <w:sz w:val="24"/>
                <w:szCs w:val="24"/>
              </w:rPr>
            </w:pPr>
          </w:p>
        </w:tc>
      </w:tr>
      <w:tr w:rsidR="007B6115" w:rsidRPr="007B6115" w14:paraId="1F111A97" w14:textId="77777777" w:rsidTr="004E1A04">
        <w:trPr>
          <w:trHeight w:hRule="exact" w:val="288"/>
        </w:trPr>
        <w:tc>
          <w:tcPr>
            <w:tcW w:w="3150" w:type="dxa"/>
            <w:hideMark/>
          </w:tcPr>
          <w:p w14:paraId="3FE822EF" w14:textId="24D46100" w:rsidR="007B6115" w:rsidRPr="007B6115" w:rsidRDefault="007B6115" w:rsidP="004E1A04">
            <w:pPr>
              <w:rPr>
                <w:bCs/>
                <w:sz w:val="24"/>
                <w:szCs w:val="24"/>
              </w:rPr>
            </w:pPr>
            <w:r w:rsidRPr="007B6115">
              <w:rPr>
                <w:bCs/>
                <w:sz w:val="24"/>
                <w:szCs w:val="24"/>
              </w:rPr>
              <w:t>$0</w:t>
            </w:r>
            <w:r w:rsidR="00380373">
              <w:rPr>
                <w:bCs/>
                <w:sz w:val="24"/>
                <w:szCs w:val="24"/>
              </w:rPr>
              <w:t>–</w:t>
            </w:r>
            <w:r w:rsidRPr="007B6115">
              <w:rPr>
                <w:bCs/>
                <w:sz w:val="24"/>
                <w:szCs w:val="24"/>
              </w:rPr>
              <w:t>$7</w:t>
            </w:r>
            <w:r w:rsidR="006C49EC">
              <w:rPr>
                <w:bCs/>
                <w:sz w:val="24"/>
                <w:szCs w:val="24"/>
              </w:rPr>
              <w:t>8,75</w:t>
            </w:r>
            <w:r w:rsidRPr="007B611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60" w:type="dxa"/>
            <w:hideMark/>
          </w:tcPr>
          <w:p w14:paraId="4790F4EE" w14:textId="77777777" w:rsidR="007B6115" w:rsidRPr="007B6115" w:rsidRDefault="007B6115" w:rsidP="004E1A04">
            <w:pPr>
              <w:tabs>
                <w:tab w:val="decimal" w:pos="1332"/>
              </w:tabs>
              <w:rPr>
                <w:bCs/>
                <w:sz w:val="24"/>
                <w:szCs w:val="24"/>
              </w:rPr>
            </w:pPr>
            <w:r w:rsidRPr="007B6115">
              <w:rPr>
                <w:bCs/>
                <w:sz w:val="24"/>
                <w:szCs w:val="24"/>
              </w:rPr>
              <w:t>0%</w:t>
            </w:r>
          </w:p>
        </w:tc>
      </w:tr>
      <w:tr w:rsidR="007B6115" w:rsidRPr="007B6115" w14:paraId="50E8D826" w14:textId="77777777" w:rsidTr="004E1A04">
        <w:trPr>
          <w:trHeight w:hRule="exact" w:val="288"/>
        </w:trPr>
        <w:tc>
          <w:tcPr>
            <w:tcW w:w="3150" w:type="dxa"/>
            <w:hideMark/>
          </w:tcPr>
          <w:p w14:paraId="6E35DB4F" w14:textId="3B79DE13" w:rsidR="007B6115" w:rsidRPr="007B6115" w:rsidRDefault="007B6115" w:rsidP="004E1A04">
            <w:pPr>
              <w:rPr>
                <w:bCs/>
                <w:sz w:val="24"/>
                <w:szCs w:val="24"/>
              </w:rPr>
            </w:pPr>
            <w:r w:rsidRPr="007B6115">
              <w:rPr>
                <w:bCs/>
                <w:sz w:val="24"/>
                <w:szCs w:val="24"/>
              </w:rPr>
              <w:t>$7</w:t>
            </w:r>
            <w:r w:rsidR="006C49EC">
              <w:rPr>
                <w:bCs/>
                <w:sz w:val="24"/>
                <w:szCs w:val="24"/>
              </w:rPr>
              <w:t>8,75</w:t>
            </w:r>
            <w:r w:rsidRPr="007B6115">
              <w:rPr>
                <w:bCs/>
                <w:sz w:val="24"/>
                <w:szCs w:val="24"/>
              </w:rPr>
              <w:t>1</w:t>
            </w:r>
            <w:r w:rsidR="00380373">
              <w:rPr>
                <w:bCs/>
                <w:sz w:val="24"/>
                <w:szCs w:val="24"/>
              </w:rPr>
              <w:t>–</w:t>
            </w:r>
            <w:r w:rsidRPr="007B6115">
              <w:rPr>
                <w:bCs/>
                <w:sz w:val="24"/>
                <w:szCs w:val="24"/>
              </w:rPr>
              <w:t>$</w:t>
            </w:r>
            <w:r w:rsidR="006C49EC">
              <w:rPr>
                <w:bCs/>
                <w:sz w:val="24"/>
                <w:szCs w:val="24"/>
              </w:rPr>
              <w:t>488,850</w:t>
            </w:r>
          </w:p>
        </w:tc>
        <w:tc>
          <w:tcPr>
            <w:tcW w:w="3060" w:type="dxa"/>
            <w:hideMark/>
          </w:tcPr>
          <w:p w14:paraId="232B5857" w14:textId="77777777" w:rsidR="007B6115" w:rsidRPr="007B6115" w:rsidRDefault="007B6115" w:rsidP="004E1A04">
            <w:pPr>
              <w:tabs>
                <w:tab w:val="decimal" w:pos="1332"/>
              </w:tabs>
              <w:rPr>
                <w:bCs/>
                <w:sz w:val="24"/>
                <w:szCs w:val="24"/>
              </w:rPr>
            </w:pPr>
            <w:r w:rsidRPr="007B6115">
              <w:rPr>
                <w:bCs/>
                <w:sz w:val="24"/>
                <w:szCs w:val="24"/>
              </w:rPr>
              <w:t>15%</w:t>
            </w:r>
          </w:p>
        </w:tc>
      </w:tr>
      <w:tr w:rsidR="007B6115" w:rsidRPr="007B6115" w14:paraId="7C02CBE7" w14:textId="77777777" w:rsidTr="004E1A04">
        <w:trPr>
          <w:trHeight w:hRule="exact" w:val="288"/>
        </w:trPr>
        <w:tc>
          <w:tcPr>
            <w:tcW w:w="3150" w:type="dxa"/>
            <w:hideMark/>
          </w:tcPr>
          <w:p w14:paraId="0FB8FBC8" w14:textId="137C3013" w:rsidR="007B6115" w:rsidRPr="007B6115" w:rsidRDefault="007B6115" w:rsidP="004E1A04">
            <w:pPr>
              <w:rPr>
                <w:bCs/>
                <w:sz w:val="24"/>
                <w:szCs w:val="24"/>
              </w:rPr>
            </w:pPr>
            <w:r w:rsidRPr="007B6115">
              <w:rPr>
                <w:bCs/>
                <w:sz w:val="24"/>
                <w:szCs w:val="24"/>
              </w:rPr>
              <w:t>&gt; $</w:t>
            </w:r>
            <w:r w:rsidR="006C49EC">
              <w:rPr>
                <w:bCs/>
                <w:sz w:val="24"/>
                <w:szCs w:val="24"/>
              </w:rPr>
              <w:t>488,850</w:t>
            </w:r>
          </w:p>
        </w:tc>
        <w:tc>
          <w:tcPr>
            <w:tcW w:w="3060" w:type="dxa"/>
            <w:hideMark/>
          </w:tcPr>
          <w:p w14:paraId="469FD031" w14:textId="77777777" w:rsidR="007B6115" w:rsidRPr="007B6115" w:rsidRDefault="007B6115" w:rsidP="004E1A04">
            <w:pPr>
              <w:tabs>
                <w:tab w:val="decimal" w:pos="1332"/>
              </w:tabs>
              <w:rPr>
                <w:bCs/>
                <w:sz w:val="24"/>
                <w:szCs w:val="24"/>
              </w:rPr>
            </w:pPr>
            <w:r w:rsidRPr="007B6115">
              <w:rPr>
                <w:bCs/>
                <w:sz w:val="24"/>
                <w:szCs w:val="24"/>
              </w:rPr>
              <w:t>20%</w:t>
            </w:r>
          </w:p>
        </w:tc>
      </w:tr>
      <w:tr w:rsidR="00DD218B" w:rsidRPr="007B6115" w14:paraId="4D02AFE5" w14:textId="77777777" w:rsidTr="00380373">
        <w:trPr>
          <w:trHeight w:hRule="exact" w:val="288"/>
        </w:trPr>
        <w:tc>
          <w:tcPr>
            <w:tcW w:w="3150" w:type="dxa"/>
          </w:tcPr>
          <w:p w14:paraId="4EC3C410" w14:textId="2B33EA38" w:rsidR="00DD218B" w:rsidRPr="004E1A04" w:rsidRDefault="00DD218B" w:rsidP="004E1A04">
            <w:pPr>
              <w:rPr>
                <w:bCs/>
                <w:sz w:val="24"/>
                <w:szCs w:val="24"/>
              </w:rPr>
            </w:pPr>
            <w:r w:rsidRPr="004E1A04">
              <w:rPr>
                <w:bCs/>
                <w:sz w:val="24"/>
                <w:szCs w:val="24"/>
              </w:rPr>
              <w:t>Single:</w:t>
            </w:r>
          </w:p>
        </w:tc>
        <w:tc>
          <w:tcPr>
            <w:tcW w:w="3060" w:type="dxa"/>
          </w:tcPr>
          <w:p w14:paraId="47456A10" w14:textId="77777777" w:rsidR="00DD218B" w:rsidRPr="007B6115" w:rsidRDefault="00DD218B" w:rsidP="004E1A04">
            <w:pPr>
              <w:tabs>
                <w:tab w:val="decimal" w:pos="1332"/>
              </w:tabs>
              <w:rPr>
                <w:bCs/>
                <w:sz w:val="24"/>
                <w:szCs w:val="24"/>
              </w:rPr>
            </w:pPr>
          </w:p>
        </w:tc>
      </w:tr>
      <w:tr w:rsidR="007B6115" w:rsidRPr="007B6115" w14:paraId="7788EF73" w14:textId="77777777" w:rsidTr="004E1A04">
        <w:trPr>
          <w:trHeight w:hRule="exact" w:val="288"/>
        </w:trPr>
        <w:tc>
          <w:tcPr>
            <w:tcW w:w="3150" w:type="dxa"/>
            <w:hideMark/>
          </w:tcPr>
          <w:p w14:paraId="12555089" w14:textId="0E79290C" w:rsidR="007B6115" w:rsidRPr="007B6115" w:rsidRDefault="007B6115" w:rsidP="004E1A04">
            <w:pPr>
              <w:rPr>
                <w:bCs/>
                <w:sz w:val="24"/>
                <w:szCs w:val="24"/>
              </w:rPr>
            </w:pPr>
            <w:r w:rsidRPr="007B6115">
              <w:rPr>
                <w:bCs/>
                <w:sz w:val="24"/>
                <w:szCs w:val="24"/>
              </w:rPr>
              <w:t>$0</w:t>
            </w:r>
            <w:r w:rsidR="00380373">
              <w:rPr>
                <w:bCs/>
                <w:sz w:val="24"/>
                <w:szCs w:val="24"/>
              </w:rPr>
              <w:t>–</w:t>
            </w:r>
            <w:r w:rsidRPr="007B6115">
              <w:rPr>
                <w:bCs/>
                <w:sz w:val="24"/>
                <w:szCs w:val="24"/>
              </w:rPr>
              <w:t>$</w:t>
            </w:r>
            <w:r w:rsidR="006C49EC">
              <w:rPr>
                <w:bCs/>
                <w:sz w:val="24"/>
                <w:szCs w:val="24"/>
              </w:rPr>
              <w:t>39,375</w:t>
            </w:r>
          </w:p>
        </w:tc>
        <w:tc>
          <w:tcPr>
            <w:tcW w:w="3060" w:type="dxa"/>
            <w:hideMark/>
          </w:tcPr>
          <w:p w14:paraId="6DFF55BC" w14:textId="77777777" w:rsidR="007B6115" w:rsidRPr="007B6115" w:rsidRDefault="007B6115" w:rsidP="004E1A04">
            <w:pPr>
              <w:tabs>
                <w:tab w:val="decimal" w:pos="1332"/>
              </w:tabs>
              <w:rPr>
                <w:bCs/>
                <w:sz w:val="24"/>
                <w:szCs w:val="24"/>
              </w:rPr>
            </w:pPr>
            <w:r w:rsidRPr="007B6115">
              <w:rPr>
                <w:bCs/>
                <w:sz w:val="24"/>
                <w:szCs w:val="24"/>
              </w:rPr>
              <w:t>0%</w:t>
            </w:r>
          </w:p>
        </w:tc>
      </w:tr>
      <w:tr w:rsidR="007B6115" w:rsidRPr="007B6115" w14:paraId="10EC9172" w14:textId="77777777" w:rsidTr="004E1A04">
        <w:trPr>
          <w:trHeight w:hRule="exact" w:val="288"/>
        </w:trPr>
        <w:tc>
          <w:tcPr>
            <w:tcW w:w="3150" w:type="dxa"/>
            <w:hideMark/>
          </w:tcPr>
          <w:p w14:paraId="5B570D2E" w14:textId="3EA71BCD" w:rsidR="007B6115" w:rsidRPr="007B6115" w:rsidRDefault="007B6115" w:rsidP="004E1A04">
            <w:pPr>
              <w:rPr>
                <w:bCs/>
                <w:sz w:val="24"/>
                <w:szCs w:val="24"/>
              </w:rPr>
            </w:pPr>
            <w:r w:rsidRPr="007B6115">
              <w:rPr>
                <w:bCs/>
                <w:sz w:val="24"/>
                <w:szCs w:val="24"/>
              </w:rPr>
              <w:t>$</w:t>
            </w:r>
            <w:r w:rsidR="006C49EC">
              <w:rPr>
                <w:bCs/>
                <w:sz w:val="24"/>
                <w:szCs w:val="24"/>
              </w:rPr>
              <w:t>39,376</w:t>
            </w:r>
            <w:r w:rsidR="00380373">
              <w:rPr>
                <w:bCs/>
                <w:sz w:val="24"/>
                <w:szCs w:val="24"/>
              </w:rPr>
              <w:t>–</w:t>
            </w:r>
            <w:r w:rsidRPr="007B6115">
              <w:rPr>
                <w:bCs/>
                <w:sz w:val="24"/>
                <w:szCs w:val="24"/>
              </w:rPr>
              <w:t>$</w:t>
            </w:r>
            <w:r w:rsidR="006C49EC">
              <w:rPr>
                <w:bCs/>
                <w:sz w:val="24"/>
                <w:szCs w:val="24"/>
              </w:rPr>
              <w:t>434,550</w:t>
            </w:r>
          </w:p>
        </w:tc>
        <w:tc>
          <w:tcPr>
            <w:tcW w:w="3060" w:type="dxa"/>
            <w:hideMark/>
          </w:tcPr>
          <w:p w14:paraId="35A18809" w14:textId="77777777" w:rsidR="007B6115" w:rsidRPr="007B6115" w:rsidRDefault="007B6115" w:rsidP="004E1A04">
            <w:pPr>
              <w:tabs>
                <w:tab w:val="decimal" w:pos="1332"/>
              </w:tabs>
              <w:rPr>
                <w:bCs/>
                <w:sz w:val="24"/>
                <w:szCs w:val="24"/>
              </w:rPr>
            </w:pPr>
            <w:r w:rsidRPr="007B6115">
              <w:rPr>
                <w:bCs/>
                <w:sz w:val="24"/>
                <w:szCs w:val="24"/>
              </w:rPr>
              <w:t>15%</w:t>
            </w:r>
          </w:p>
        </w:tc>
      </w:tr>
      <w:tr w:rsidR="007B6115" w:rsidRPr="007B6115" w14:paraId="0299B8FF" w14:textId="77777777" w:rsidTr="004E1A04">
        <w:trPr>
          <w:trHeight w:hRule="exact" w:val="288"/>
        </w:trPr>
        <w:tc>
          <w:tcPr>
            <w:tcW w:w="3150" w:type="dxa"/>
            <w:hideMark/>
          </w:tcPr>
          <w:p w14:paraId="5E948386" w14:textId="2646310A" w:rsidR="007B6115" w:rsidRPr="007B6115" w:rsidRDefault="007B6115" w:rsidP="004E1A04">
            <w:pPr>
              <w:rPr>
                <w:bCs/>
                <w:sz w:val="24"/>
                <w:szCs w:val="24"/>
              </w:rPr>
            </w:pPr>
            <w:r w:rsidRPr="007B6115">
              <w:rPr>
                <w:bCs/>
                <w:sz w:val="24"/>
                <w:szCs w:val="24"/>
              </w:rPr>
              <w:t>&gt; $</w:t>
            </w:r>
            <w:r w:rsidR="006C49EC">
              <w:rPr>
                <w:bCs/>
                <w:sz w:val="24"/>
                <w:szCs w:val="24"/>
              </w:rPr>
              <w:t>434,550</w:t>
            </w:r>
            <w:r w:rsidRPr="007B611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hideMark/>
          </w:tcPr>
          <w:p w14:paraId="0286A5F7" w14:textId="77777777" w:rsidR="007B6115" w:rsidRPr="007B6115" w:rsidRDefault="007B6115" w:rsidP="004E1A04">
            <w:pPr>
              <w:tabs>
                <w:tab w:val="decimal" w:pos="1332"/>
              </w:tabs>
              <w:rPr>
                <w:bCs/>
                <w:sz w:val="24"/>
                <w:szCs w:val="24"/>
              </w:rPr>
            </w:pPr>
            <w:r w:rsidRPr="007B6115">
              <w:rPr>
                <w:bCs/>
                <w:sz w:val="24"/>
                <w:szCs w:val="24"/>
              </w:rPr>
              <w:t>20%</w:t>
            </w:r>
          </w:p>
        </w:tc>
      </w:tr>
      <w:tr w:rsidR="00DD218B" w:rsidRPr="007B6115" w14:paraId="2EF8CFA8" w14:textId="77777777" w:rsidTr="00380373">
        <w:trPr>
          <w:trHeight w:hRule="exact" w:val="288"/>
        </w:trPr>
        <w:tc>
          <w:tcPr>
            <w:tcW w:w="3150" w:type="dxa"/>
          </w:tcPr>
          <w:p w14:paraId="61843BCE" w14:textId="620E34CF" w:rsidR="00DD218B" w:rsidRPr="004E1A04" w:rsidRDefault="00DD218B" w:rsidP="004E1A04">
            <w:pPr>
              <w:rPr>
                <w:bCs/>
                <w:sz w:val="24"/>
                <w:szCs w:val="24"/>
              </w:rPr>
            </w:pPr>
            <w:r w:rsidRPr="004E1A04">
              <w:rPr>
                <w:bCs/>
                <w:sz w:val="24"/>
                <w:szCs w:val="24"/>
              </w:rPr>
              <w:t>Head of household:</w:t>
            </w:r>
          </w:p>
        </w:tc>
        <w:tc>
          <w:tcPr>
            <w:tcW w:w="3060" w:type="dxa"/>
          </w:tcPr>
          <w:p w14:paraId="28F736AA" w14:textId="77777777" w:rsidR="00DD218B" w:rsidRPr="007B6115" w:rsidRDefault="00DD218B" w:rsidP="004E1A04">
            <w:pPr>
              <w:tabs>
                <w:tab w:val="decimal" w:pos="1332"/>
              </w:tabs>
              <w:rPr>
                <w:bCs/>
                <w:sz w:val="24"/>
                <w:szCs w:val="24"/>
              </w:rPr>
            </w:pPr>
          </w:p>
        </w:tc>
      </w:tr>
      <w:tr w:rsidR="007B6115" w:rsidRPr="007B6115" w14:paraId="747E6458" w14:textId="77777777" w:rsidTr="004E1A04">
        <w:trPr>
          <w:trHeight w:hRule="exact" w:val="288"/>
        </w:trPr>
        <w:tc>
          <w:tcPr>
            <w:tcW w:w="3150" w:type="dxa"/>
            <w:hideMark/>
          </w:tcPr>
          <w:p w14:paraId="5E5AADF5" w14:textId="1968F4DA" w:rsidR="007B6115" w:rsidRPr="007B6115" w:rsidRDefault="007B6115" w:rsidP="004E1A04">
            <w:pPr>
              <w:rPr>
                <w:bCs/>
                <w:sz w:val="24"/>
                <w:szCs w:val="24"/>
              </w:rPr>
            </w:pPr>
            <w:r w:rsidRPr="007B6115">
              <w:rPr>
                <w:bCs/>
                <w:sz w:val="24"/>
                <w:szCs w:val="24"/>
              </w:rPr>
              <w:t>$0</w:t>
            </w:r>
            <w:r w:rsidR="00380373">
              <w:rPr>
                <w:bCs/>
                <w:sz w:val="24"/>
                <w:szCs w:val="24"/>
              </w:rPr>
              <w:t>–</w:t>
            </w:r>
            <w:r w:rsidRPr="007B6115">
              <w:rPr>
                <w:bCs/>
                <w:sz w:val="24"/>
                <w:szCs w:val="24"/>
              </w:rPr>
              <w:t>$</w:t>
            </w:r>
            <w:r w:rsidR="006C49EC">
              <w:rPr>
                <w:bCs/>
                <w:sz w:val="24"/>
                <w:szCs w:val="24"/>
              </w:rPr>
              <w:t>52,750</w:t>
            </w:r>
          </w:p>
        </w:tc>
        <w:tc>
          <w:tcPr>
            <w:tcW w:w="3060" w:type="dxa"/>
            <w:hideMark/>
          </w:tcPr>
          <w:p w14:paraId="57D07DFE" w14:textId="77777777" w:rsidR="007B6115" w:rsidRPr="007B6115" w:rsidRDefault="007B6115" w:rsidP="004E1A04">
            <w:pPr>
              <w:tabs>
                <w:tab w:val="decimal" w:pos="1332"/>
              </w:tabs>
              <w:rPr>
                <w:bCs/>
                <w:sz w:val="24"/>
                <w:szCs w:val="24"/>
              </w:rPr>
            </w:pPr>
            <w:r w:rsidRPr="007B6115">
              <w:rPr>
                <w:bCs/>
                <w:sz w:val="24"/>
                <w:szCs w:val="24"/>
              </w:rPr>
              <w:t>0%</w:t>
            </w:r>
          </w:p>
        </w:tc>
      </w:tr>
      <w:tr w:rsidR="007B6115" w:rsidRPr="007B6115" w14:paraId="210A91CE" w14:textId="77777777" w:rsidTr="004E1A04">
        <w:trPr>
          <w:trHeight w:hRule="exact" w:val="288"/>
        </w:trPr>
        <w:tc>
          <w:tcPr>
            <w:tcW w:w="3150" w:type="dxa"/>
            <w:hideMark/>
          </w:tcPr>
          <w:p w14:paraId="2FDC7377" w14:textId="10B2B386" w:rsidR="007B6115" w:rsidRPr="007B6115" w:rsidRDefault="007B6115" w:rsidP="004E1A04">
            <w:pPr>
              <w:rPr>
                <w:bCs/>
                <w:sz w:val="24"/>
                <w:szCs w:val="24"/>
              </w:rPr>
            </w:pPr>
            <w:r w:rsidRPr="007B6115">
              <w:rPr>
                <w:bCs/>
                <w:sz w:val="24"/>
                <w:szCs w:val="24"/>
              </w:rPr>
              <w:t>$</w:t>
            </w:r>
            <w:r w:rsidR="00006AFE">
              <w:rPr>
                <w:bCs/>
                <w:sz w:val="24"/>
                <w:szCs w:val="24"/>
              </w:rPr>
              <w:t>52,751</w:t>
            </w:r>
            <w:r w:rsidR="00380373">
              <w:rPr>
                <w:bCs/>
                <w:sz w:val="24"/>
                <w:szCs w:val="24"/>
              </w:rPr>
              <w:t>–</w:t>
            </w:r>
            <w:r w:rsidRPr="007B6115">
              <w:rPr>
                <w:bCs/>
                <w:sz w:val="24"/>
                <w:szCs w:val="24"/>
              </w:rPr>
              <w:t>$</w:t>
            </w:r>
            <w:r w:rsidR="00006AFE">
              <w:rPr>
                <w:bCs/>
                <w:sz w:val="24"/>
                <w:szCs w:val="24"/>
              </w:rPr>
              <w:t>461,700</w:t>
            </w:r>
          </w:p>
        </w:tc>
        <w:tc>
          <w:tcPr>
            <w:tcW w:w="3060" w:type="dxa"/>
            <w:hideMark/>
          </w:tcPr>
          <w:p w14:paraId="37465A7F" w14:textId="77777777" w:rsidR="007B6115" w:rsidRPr="007B6115" w:rsidRDefault="007B6115" w:rsidP="004E1A04">
            <w:pPr>
              <w:tabs>
                <w:tab w:val="decimal" w:pos="1332"/>
              </w:tabs>
              <w:rPr>
                <w:bCs/>
                <w:sz w:val="24"/>
                <w:szCs w:val="24"/>
              </w:rPr>
            </w:pPr>
            <w:r w:rsidRPr="007B6115">
              <w:rPr>
                <w:bCs/>
                <w:sz w:val="24"/>
                <w:szCs w:val="24"/>
              </w:rPr>
              <w:t>15%</w:t>
            </w:r>
          </w:p>
        </w:tc>
      </w:tr>
      <w:tr w:rsidR="007B6115" w:rsidRPr="007B6115" w14:paraId="0E66599B" w14:textId="77777777" w:rsidTr="004E1A04">
        <w:trPr>
          <w:trHeight w:hRule="exact" w:val="288"/>
        </w:trPr>
        <w:tc>
          <w:tcPr>
            <w:tcW w:w="3150" w:type="dxa"/>
            <w:hideMark/>
          </w:tcPr>
          <w:p w14:paraId="2D88533E" w14:textId="6E9EFAFB" w:rsidR="007B6115" w:rsidRPr="007B6115" w:rsidRDefault="00DD218B" w:rsidP="004E1A04">
            <w:pPr>
              <w:rPr>
                <w:bCs/>
                <w:sz w:val="24"/>
                <w:szCs w:val="24"/>
              </w:rPr>
            </w:pPr>
            <w:r w:rsidRPr="007B6115">
              <w:rPr>
                <w:bCs/>
                <w:sz w:val="24"/>
                <w:szCs w:val="24"/>
              </w:rPr>
              <w:t>&gt;</w:t>
            </w:r>
            <w:r w:rsidR="007B6115" w:rsidRPr="007B6115">
              <w:rPr>
                <w:bCs/>
                <w:sz w:val="24"/>
                <w:szCs w:val="24"/>
              </w:rPr>
              <w:t xml:space="preserve"> $</w:t>
            </w:r>
            <w:r w:rsidR="00006AFE">
              <w:rPr>
                <w:bCs/>
                <w:sz w:val="24"/>
                <w:szCs w:val="24"/>
              </w:rPr>
              <w:t>461,700</w:t>
            </w:r>
          </w:p>
        </w:tc>
        <w:tc>
          <w:tcPr>
            <w:tcW w:w="3060" w:type="dxa"/>
            <w:hideMark/>
          </w:tcPr>
          <w:p w14:paraId="61EE4F55" w14:textId="77777777" w:rsidR="007B6115" w:rsidRPr="007B6115" w:rsidRDefault="007B6115" w:rsidP="004E1A04">
            <w:pPr>
              <w:tabs>
                <w:tab w:val="decimal" w:pos="1332"/>
              </w:tabs>
              <w:rPr>
                <w:bCs/>
                <w:sz w:val="24"/>
                <w:szCs w:val="24"/>
              </w:rPr>
            </w:pPr>
            <w:r w:rsidRPr="007B6115">
              <w:rPr>
                <w:bCs/>
                <w:sz w:val="24"/>
                <w:szCs w:val="24"/>
              </w:rPr>
              <w:t>20%</w:t>
            </w:r>
          </w:p>
        </w:tc>
      </w:tr>
      <w:tr w:rsidR="00CC7DC0" w14:paraId="1328F72B" w14:textId="77777777" w:rsidTr="004E1A04">
        <w:trPr>
          <w:trHeight w:hRule="exact" w:val="864"/>
        </w:trPr>
        <w:tc>
          <w:tcPr>
            <w:tcW w:w="6210" w:type="dxa"/>
            <w:gridSpan w:val="2"/>
          </w:tcPr>
          <w:p w14:paraId="07884E1A" w14:textId="070164F1" w:rsidR="00CC7DC0" w:rsidRDefault="00CC7DC0" w:rsidP="004E1A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*An additional 3.8% Medicare surtax on </w:t>
            </w:r>
            <w:r w:rsidR="00DD218B">
              <w:rPr>
                <w:bCs/>
                <w:sz w:val="24"/>
                <w:szCs w:val="24"/>
              </w:rPr>
              <w:t>n</w:t>
            </w:r>
            <w:r>
              <w:rPr>
                <w:bCs/>
                <w:sz w:val="24"/>
                <w:szCs w:val="24"/>
              </w:rPr>
              <w:t xml:space="preserve">et </w:t>
            </w:r>
            <w:r w:rsidR="00DD218B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 xml:space="preserve">nvestment </w:t>
            </w:r>
            <w:r w:rsidR="00DD218B">
              <w:rPr>
                <w:bCs/>
                <w:sz w:val="24"/>
                <w:szCs w:val="24"/>
              </w:rPr>
              <w:t>i</w:t>
            </w:r>
            <w:r>
              <w:rPr>
                <w:bCs/>
                <w:sz w:val="24"/>
                <w:szCs w:val="24"/>
              </w:rPr>
              <w:t>ncome</w:t>
            </w:r>
            <w:r w:rsidR="00DD218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including qualifying dividends</w:t>
            </w:r>
            <w:r w:rsidR="00DD218B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applies to high-income taxpayers.</w:t>
            </w:r>
          </w:p>
        </w:tc>
      </w:tr>
    </w:tbl>
    <w:p w14:paraId="259ED72F" w14:textId="77777777" w:rsidR="00572925" w:rsidRPr="00342B64" w:rsidRDefault="00572925" w:rsidP="004E1A04">
      <w:pPr>
        <w:keepNext/>
        <w:rPr>
          <w:bCs/>
          <w:sz w:val="24"/>
          <w:szCs w:val="24"/>
        </w:rPr>
      </w:pPr>
    </w:p>
    <w:p w14:paraId="59B1E024" w14:textId="4CD0AE65" w:rsidR="007B6115" w:rsidRPr="00ED303B" w:rsidRDefault="00ED303B" w:rsidP="004E1A04">
      <w:pPr>
        <w:pStyle w:val="ListParagraph"/>
        <w:numPr>
          <w:ilvl w:val="0"/>
          <w:numId w:val="45"/>
        </w:numPr>
        <w:ind w:left="720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Interest </w:t>
      </w:r>
      <w:r w:rsidR="00DD218B">
        <w:rPr>
          <w:bCs/>
          <w:sz w:val="24"/>
          <w:szCs w:val="24"/>
        </w:rPr>
        <w:t xml:space="preserve">is </w:t>
      </w:r>
      <w:r>
        <w:rPr>
          <w:bCs/>
          <w:sz w:val="24"/>
          <w:szCs w:val="24"/>
        </w:rPr>
        <w:t>reported on Form 1099-INT (Box 1)</w:t>
      </w:r>
      <w:r w:rsidR="00DD218B">
        <w:rPr>
          <w:bCs/>
          <w:sz w:val="24"/>
          <w:szCs w:val="24"/>
        </w:rPr>
        <w:t>.</w:t>
      </w:r>
    </w:p>
    <w:p w14:paraId="17F0BC84" w14:textId="7CBF24AA" w:rsidR="00ED303B" w:rsidRPr="00ED303B" w:rsidRDefault="00ED303B" w:rsidP="004E1A04">
      <w:pPr>
        <w:pStyle w:val="ListParagraph"/>
        <w:numPr>
          <w:ilvl w:val="0"/>
          <w:numId w:val="45"/>
        </w:numPr>
        <w:ind w:left="720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States may not tax interest from U.S. government obligations (reported in Box 3)</w:t>
      </w:r>
      <w:r w:rsidR="00DD218B">
        <w:rPr>
          <w:bCs/>
          <w:sz w:val="24"/>
          <w:szCs w:val="24"/>
        </w:rPr>
        <w:t>.</w:t>
      </w:r>
    </w:p>
    <w:p w14:paraId="160F3533" w14:textId="5B8A3330" w:rsidR="00ED303B" w:rsidRPr="004E1A04" w:rsidRDefault="00ED303B" w:rsidP="004E1A04">
      <w:pPr>
        <w:pStyle w:val="ListParagraph"/>
        <w:numPr>
          <w:ilvl w:val="0"/>
          <w:numId w:val="45"/>
        </w:numPr>
        <w:ind w:left="720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Tax-exempt interest </w:t>
      </w:r>
      <w:r w:rsidR="00DD218B">
        <w:rPr>
          <w:bCs/>
          <w:sz w:val="24"/>
          <w:szCs w:val="24"/>
        </w:rPr>
        <w:t xml:space="preserve">is </w:t>
      </w:r>
      <w:r>
        <w:rPr>
          <w:bCs/>
          <w:sz w:val="24"/>
          <w:szCs w:val="24"/>
        </w:rPr>
        <w:t>reported in Box 8</w:t>
      </w:r>
      <w:r w:rsidR="00DD218B">
        <w:rPr>
          <w:bCs/>
          <w:sz w:val="24"/>
          <w:szCs w:val="24"/>
        </w:rPr>
        <w:t>.</w:t>
      </w:r>
    </w:p>
    <w:p w14:paraId="6078AE48" w14:textId="554F936C" w:rsidR="007B6115" w:rsidRDefault="00ED303B" w:rsidP="004E1A04">
      <w:pPr>
        <w:pStyle w:val="ListParagraph"/>
        <w:numPr>
          <w:ilvl w:val="0"/>
          <w:numId w:val="45"/>
        </w:numPr>
        <w:ind w:left="720"/>
        <w:rPr>
          <w:bCs/>
          <w:sz w:val="24"/>
          <w:szCs w:val="24"/>
        </w:rPr>
      </w:pPr>
      <w:r w:rsidRPr="00ED303B">
        <w:rPr>
          <w:bCs/>
          <w:sz w:val="24"/>
          <w:szCs w:val="24"/>
        </w:rPr>
        <w:t xml:space="preserve">Dividends </w:t>
      </w:r>
      <w:r w:rsidR="00DD218B">
        <w:rPr>
          <w:bCs/>
          <w:sz w:val="24"/>
          <w:szCs w:val="24"/>
        </w:rPr>
        <w:t xml:space="preserve">are </w:t>
      </w:r>
      <w:r w:rsidRPr="00ED303B">
        <w:rPr>
          <w:bCs/>
          <w:sz w:val="24"/>
          <w:szCs w:val="24"/>
        </w:rPr>
        <w:t>reported on Form 1099-DIV</w:t>
      </w:r>
      <w:r w:rsidR="00DD218B">
        <w:rPr>
          <w:bCs/>
          <w:sz w:val="24"/>
          <w:szCs w:val="24"/>
        </w:rPr>
        <w:t>.</w:t>
      </w:r>
    </w:p>
    <w:p w14:paraId="10C2E84F" w14:textId="5FDA96C5" w:rsidR="00ED303B" w:rsidRDefault="00ED303B" w:rsidP="004E1A04">
      <w:pPr>
        <w:pStyle w:val="ListParagraph"/>
        <w:numPr>
          <w:ilvl w:val="1"/>
          <w:numId w:val="45"/>
        </w:num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>Ordinary dividends (Box 1a); qualified dividends (Box 1</w:t>
      </w:r>
      <w:r w:rsidR="00257241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>); capital gain dividends (Box 2a)</w:t>
      </w:r>
    </w:p>
    <w:p w14:paraId="2056E49C" w14:textId="2A0CD1FC" w:rsidR="00ED303B" w:rsidRDefault="00ED303B" w:rsidP="004E1A04">
      <w:pPr>
        <w:pStyle w:val="ListParagraph"/>
        <w:numPr>
          <w:ilvl w:val="1"/>
          <w:numId w:val="45"/>
        </w:numPr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>Capital gains dividends are reported on Schedule D</w:t>
      </w:r>
      <w:r w:rsidR="00257241">
        <w:rPr>
          <w:bCs/>
          <w:sz w:val="24"/>
          <w:szCs w:val="24"/>
        </w:rPr>
        <w:t>.</w:t>
      </w:r>
    </w:p>
    <w:p w14:paraId="4E7E905C" w14:textId="6A9BC1C5" w:rsidR="004E6DC9" w:rsidRDefault="004E6DC9" w:rsidP="004E1A04">
      <w:pPr>
        <w:keepNext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Learning Objective 2.10</w:t>
      </w:r>
      <w:r>
        <w:rPr>
          <w:b/>
          <w:bCs/>
          <w:sz w:val="24"/>
          <w:szCs w:val="24"/>
          <w:u w:val="single"/>
        </w:rPr>
        <w:tab/>
        <w:t>Municipal Bond Interest</w:t>
      </w:r>
    </w:p>
    <w:p w14:paraId="69F59F63" w14:textId="5FD6F7B4" w:rsidR="004E6DC9" w:rsidRPr="002614D5" w:rsidRDefault="004E6DC9" w:rsidP="004E1A04">
      <w:pPr>
        <w:rPr>
          <w:sz w:val="24"/>
          <w:szCs w:val="24"/>
        </w:rPr>
      </w:pPr>
      <w:r w:rsidRPr="004E1A04">
        <w:rPr>
          <w:sz w:val="24"/>
          <w:szCs w:val="24"/>
        </w:rPr>
        <w:t xml:space="preserve">Interest income earned on state or local government bonds is exempt from federal tax.  </w:t>
      </w:r>
    </w:p>
    <w:p w14:paraId="0EF0986C" w14:textId="54E9A30F" w:rsidR="004E6DC9" w:rsidRPr="004E1A04" w:rsidRDefault="004E6DC9" w:rsidP="004E1A04">
      <w:pPr>
        <w:pStyle w:val="ListParagraph"/>
        <w:numPr>
          <w:ilvl w:val="0"/>
          <w:numId w:val="60"/>
        </w:numPr>
        <w:ind w:left="720"/>
        <w:rPr>
          <w:sz w:val="24"/>
          <w:szCs w:val="24"/>
        </w:rPr>
      </w:pPr>
      <w:r w:rsidRPr="004E1A04">
        <w:rPr>
          <w:i/>
          <w:sz w:val="24"/>
          <w:szCs w:val="24"/>
        </w:rPr>
        <w:t xml:space="preserve">Note: </w:t>
      </w:r>
      <w:r w:rsidRPr="004E1A04">
        <w:rPr>
          <w:sz w:val="24"/>
          <w:szCs w:val="24"/>
        </w:rPr>
        <w:t xml:space="preserve">The interest exclusion encourages high-income taxpayers to lend money to state and local governments at lower interest rates.  </w:t>
      </w:r>
    </w:p>
    <w:p w14:paraId="3F141996" w14:textId="77777777" w:rsidR="004E6DC9" w:rsidRDefault="004E6DC9" w:rsidP="004E1A04">
      <w:pPr>
        <w:ind w:left="360"/>
        <w:rPr>
          <w:sz w:val="24"/>
          <w:szCs w:val="24"/>
        </w:rPr>
      </w:pPr>
    </w:p>
    <w:p w14:paraId="01266BBC" w14:textId="095B3320" w:rsidR="004E6DC9" w:rsidRPr="002614D5" w:rsidRDefault="004E6DC9" w:rsidP="004E1A04">
      <w:pPr>
        <w:ind w:left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After-tax return = Tax-free interest rate</w:t>
      </w:r>
      <w:r w:rsidR="00F96F7C">
        <w:rPr>
          <w:sz w:val="24"/>
          <w:szCs w:val="24"/>
        </w:rPr>
        <w:t xml:space="preserve"> ÷ </w:t>
      </w:r>
      <w:r>
        <w:rPr>
          <w:sz w:val="24"/>
          <w:szCs w:val="24"/>
        </w:rPr>
        <w:t xml:space="preserve">(1 – </w:t>
      </w:r>
      <w:r w:rsidR="007C56D6">
        <w:rPr>
          <w:sz w:val="24"/>
          <w:szCs w:val="24"/>
        </w:rPr>
        <w:t>T</w:t>
      </w:r>
      <w:r>
        <w:rPr>
          <w:sz w:val="24"/>
          <w:szCs w:val="24"/>
        </w:rPr>
        <w:t>ax rate)</w:t>
      </w:r>
    </w:p>
    <w:p w14:paraId="20F93E1E" w14:textId="77777777" w:rsidR="000A76E0" w:rsidRDefault="000A76E0" w:rsidP="004E1A04">
      <w:pPr>
        <w:keepNext/>
        <w:rPr>
          <w:b/>
          <w:bCs/>
          <w:sz w:val="24"/>
          <w:szCs w:val="24"/>
          <w:u w:val="single"/>
        </w:rPr>
      </w:pPr>
    </w:p>
    <w:p w14:paraId="14D0C437" w14:textId="4F20CEBC" w:rsidR="000A76E0" w:rsidRDefault="000A76E0" w:rsidP="004E1A04">
      <w:pPr>
        <w:keepNext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Learning Objective 2.11   </w:t>
      </w:r>
      <w:r>
        <w:rPr>
          <w:b/>
          <w:bCs/>
          <w:sz w:val="24"/>
          <w:szCs w:val="24"/>
          <w:u w:val="single"/>
        </w:rPr>
        <w:tab/>
        <w:t>Gifts and Inheritances</w:t>
      </w:r>
    </w:p>
    <w:p w14:paraId="2804381D" w14:textId="53F19E1D" w:rsidR="000A76E0" w:rsidRDefault="000A76E0" w:rsidP="004E1A04">
      <w:pPr>
        <w:rPr>
          <w:sz w:val="24"/>
          <w:szCs w:val="24"/>
        </w:rPr>
      </w:pPr>
      <w:r>
        <w:rPr>
          <w:sz w:val="24"/>
          <w:szCs w:val="24"/>
        </w:rPr>
        <w:t>The fair market value of gifts and inheritances may be excluded from taxable income</w:t>
      </w:r>
      <w:r w:rsidR="00DD37AE">
        <w:rPr>
          <w:sz w:val="24"/>
          <w:szCs w:val="24"/>
        </w:rPr>
        <w:t>.</w:t>
      </w:r>
    </w:p>
    <w:p w14:paraId="44E98AF9" w14:textId="44345D5C" w:rsidR="000A76E0" w:rsidRDefault="00F96F7C" w:rsidP="004E1A04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A76E0" w:rsidRPr="003E4007">
        <w:rPr>
          <w:sz w:val="24"/>
          <w:szCs w:val="24"/>
        </w:rPr>
        <w:t xml:space="preserve">ncome received from property after the transfer is taxable.  </w:t>
      </w:r>
    </w:p>
    <w:p w14:paraId="543787F0" w14:textId="4BF7B7FB" w:rsidR="00FE37D3" w:rsidRPr="00A659AC" w:rsidRDefault="00EF4B08" w:rsidP="004E1A04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A659AC">
        <w:rPr>
          <w:sz w:val="24"/>
          <w:szCs w:val="24"/>
        </w:rPr>
        <w:t>Gifts received are excluded from income</w:t>
      </w:r>
      <w:r w:rsidR="00DD37AE">
        <w:rPr>
          <w:sz w:val="24"/>
          <w:szCs w:val="24"/>
        </w:rPr>
        <w:t>.</w:t>
      </w:r>
    </w:p>
    <w:p w14:paraId="7166EE9B" w14:textId="00B64203" w:rsidR="00FE37D3" w:rsidRPr="00A659AC" w:rsidRDefault="00EF4B08" w:rsidP="004E1A04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A659AC">
        <w:rPr>
          <w:sz w:val="24"/>
          <w:szCs w:val="24"/>
        </w:rPr>
        <w:t>A gift is defined by the courts as a voluntary transfer of property without adequate consideration</w:t>
      </w:r>
      <w:r w:rsidR="00DD37AE">
        <w:rPr>
          <w:sz w:val="24"/>
          <w:szCs w:val="24"/>
        </w:rPr>
        <w:t>.</w:t>
      </w:r>
    </w:p>
    <w:p w14:paraId="4E855583" w14:textId="30B89CD4" w:rsidR="000A76E0" w:rsidRDefault="000A76E0" w:rsidP="004E1A04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2614D5">
        <w:rPr>
          <w:sz w:val="24"/>
          <w:szCs w:val="24"/>
        </w:rPr>
        <w:t>Gifts given in the business setting are considered taxable income</w:t>
      </w:r>
      <w:r w:rsidR="00DD37AE">
        <w:rPr>
          <w:sz w:val="24"/>
          <w:szCs w:val="24"/>
        </w:rPr>
        <w:t>.</w:t>
      </w:r>
      <w:r w:rsidRPr="002614D5">
        <w:rPr>
          <w:sz w:val="24"/>
          <w:szCs w:val="24"/>
        </w:rPr>
        <w:t xml:space="preserve"> </w:t>
      </w:r>
    </w:p>
    <w:p w14:paraId="6C2E615F" w14:textId="03083972" w:rsidR="000A76E0" w:rsidRPr="002614D5" w:rsidRDefault="000A76E0" w:rsidP="004E1A04">
      <w:pPr>
        <w:pStyle w:val="ListParagraph"/>
        <w:numPr>
          <w:ilvl w:val="1"/>
          <w:numId w:val="36"/>
        </w:numPr>
        <w:rPr>
          <w:sz w:val="24"/>
          <w:szCs w:val="24"/>
        </w:rPr>
      </w:pPr>
      <w:r w:rsidRPr="002614D5">
        <w:rPr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 w:rsidR="00F96F7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gift recipient provides service in return for </w:t>
      </w:r>
      <w:r w:rsidR="00F96F7C">
        <w:rPr>
          <w:sz w:val="24"/>
          <w:szCs w:val="24"/>
        </w:rPr>
        <w:t xml:space="preserve">the </w:t>
      </w:r>
      <w:r w:rsidRPr="002614D5">
        <w:rPr>
          <w:sz w:val="24"/>
          <w:szCs w:val="24"/>
        </w:rPr>
        <w:t xml:space="preserve">gift, </w:t>
      </w:r>
      <w:r w:rsidR="00DD37AE">
        <w:rPr>
          <w:sz w:val="24"/>
          <w:szCs w:val="24"/>
        </w:rPr>
        <w:t xml:space="preserve">it is </w:t>
      </w:r>
      <w:r w:rsidRPr="002614D5">
        <w:rPr>
          <w:sz w:val="24"/>
          <w:szCs w:val="24"/>
        </w:rPr>
        <w:t xml:space="preserve">presumed that </w:t>
      </w:r>
      <w:r w:rsidR="00F96F7C">
        <w:rPr>
          <w:sz w:val="24"/>
          <w:szCs w:val="24"/>
        </w:rPr>
        <w:t xml:space="preserve">the </w:t>
      </w:r>
      <w:r w:rsidRPr="002614D5">
        <w:rPr>
          <w:sz w:val="24"/>
          <w:szCs w:val="24"/>
        </w:rPr>
        <w:t>gift is income for the service performed.</w:t>
      </w:r>
    </w:p>
    <w:p w14:paraId="211BCD7F" w14:textId="77777777" w:rsidR="003B65D6" w:rsidRDefault="003B65D6" w:rsidP="004E1A04">
      <w:pPr>
        <w:rPr>
          <w:sz w:val="24"/>
          <w:szCs w:val="24"/>
        </w:rPr>
      </w:pPr>
    </w:p>
    <w:p w14:paraId="0AB1A207" w14:textId="64E4FE88" w:rsidR="000A76E0" w:rsidRDefault="000A76E0" w:rsidP="004E1A04">
      <w:pPr>
        <w:keepNext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Learning Objective 2.12 </w:t>
      </w:r>
      <w:r>
        <w:rPr>
          <w:b/>
          <w:bCs/>
          <w:sz w:val="24"/>
          <w:szCs w:val="24"/>
          <w:u w:val="single"/>
        </w:rPr>
        <w:tab/>
        <w:t>Scholarships</w:t>
      </w:r>
    </w:p>
    <w:p w14:paraId="5BA1A721" w14:textId="0362F964" w:rsidR="000A76E0" w:rsidRDefault="000A76E0" w:rsidP="004E1A04">
      <w:pPr>
        <w:outlineLvl w:val="0"/>
        <w:rPr>
          <w:sz w:val="24"/>
          <w:szCs w:val="24"/>
        </w:rPr>
      </w:pPr>
      <w:r>
        <w:rPr>
          <w:sz w:val="24"/>
          <w:szCs w:val="24"/>
        </w:rPr>
        <w:t>Scholarship dollars awarded that are</w:t>
      </w:r>
      <w:r w:rsidR="00ED30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used to </w:t>
      </w:r>
      <w:r w:rsidRPr="004E1A04">
        <w:rPr>
          <w:sz w:val="24"/>
          <w:szCs w:val="24"/>
        </w:rPr>
        <w:t>pay room and board are taxable</w:t>
      </w:r>
      <w:r w:rsidR="00DD37AE" w:rsidRPr="004E1A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3958CDB" w14:textId="77777777" w:rsidR="000A76E0" w:rsidRDefault="000A76E0" w:rsidP="004E1A0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E4007">
        <w:rPr>
          <w:sz w:val="24"/>
          <w:szCs w:val="24"/>
        </w:rPr>
        <w:t xml:space="preserve">Scholarship dollars spent for tuition, fees, books, and course-required supplies and equipment are </w:t>
      </w:r>
      <w:r w:rsidRPr="003E4007">
        <w:rPr>
          <w:i/>
          <w:sz w:val="24"/>
          <w:szCs w:val="24"/>
        </w:rPr>
        <w:t>exempt</w:t>
      </w:r>
      <w:r w:rsidRPr="003E4007">
        <w:rPr>
          <w:sz w:val="24"/>
          <w:szCs w:val="24"/>
        </w:rPr>
        <w:t xml:space="preserve">.  </w:t>
      </w:r>
    </w:p>
    <w:p w14:paraId="7B498EAA" w14:textId="27EE5ABB" w:rsidR="000A76E0" w:rsidRPr="003E4007" w:rsidRDefault="000A76E0" w:rsidP="004E1A0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E4007">
        <w:rPr>
          <w:sz w:val="24"/>
          <w:szCs w:val="24"/>
        </w:rPr>
        <w:t>Payments received by students for part-time employment including work</w:t>
      </w:r>
      <w:r w:rsidR="00F96F7C">
        <w:rPr>
          <w:sz w:val="24"/>
          <w:szCs w:val="24"/>
        </w:rPr>
        <w:t>–</w:t>
      </w:r>
      <w:r w:rsidRPr="003E4007">
        <w:rPr>
          <w:sz w:val="24"/>
          <w:szCs w:val="24"/>
        </w:rPr>
        <w:t xml:space="preserve">study </w:t>
      </w:r>
      <w:r w:rsidR="00F96F7C">
        <w:rPr>
          <w:sz w:val="24"/>
          <w:szCs w:val="24"/>
        </w:rPr>
        <w:t xml:space="preserve">programs </w:t>
      </w:r>
      <w:r w:rsidRPr="003E4007">
        <w:rPr>
          <w:sz w:val="24"/>
          <w:szCs w:val="24"/>
        </w:rPr>
        <w:t xml:space="preserve">are taxable as compensation.  </w:t>
      </w:r>
    </w:p>
    <w:p w14:paraId="374E496E" w14:textId="77777777" w:rsidR="004E6DC9" w:rsidRDefault="004E6DC9" w:rsidP="004E1A04">
      <w:pPr>
        <w:keepNext/>
        <w:rPr>
          <w:b/>
          <w:bCs/>
          <w:sz w:val="24"/>
          <w:szCs w:val="24"/>
          <w:u w:val="single"/>
        </w:rPr>
      </w:pPr>
    </w:p>
    <w:p w14:paraId="5163D421" w14:textId="09F04E45" w:rsidR="004E6DC9" w:rsidRDefault="004E6DC9" w:rsidP="004E1A04">
      <w:pPr>
        <w:keepNext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 2.13</w:t>
      </w:r>
      <w:r>
        <w:rPr>
          <w:b/>
          <w:bCs/>
          <w:sz w:val="24"/>
          <w:szCs w:val="24"/>
          <w:u w:val="single"/>
        </w:rPr>
        <w:tab/>
        <w:t>Alimony</w:t>
      </w:r>
    </w:p>
    <w:p w14:paraId="7DCDE7A7" w14:textId="77777777" w:rsidR="004E6DC9" w:rsidRDefault="004E6DC9" w:rsidP="004E1A04">
      <w:pPr>
        <w:rPr>
          <w:sz w:val="24"/>
          <w:szCs w:val="24"/>
        </w:rPr>
      </w:pPr>
      <w:r w:rsidRPr="008600B2">
        <w:rPr>
          <w:sz w:val="24"/>
          <w:szCs w:val="24"/>
        </w:rPr>
        <w:t>Alimony payments are deductible by the individual making the payments and tax</w:t>
      </w:r>
      <w:r w:rsidRPr="008600B2">
        <w:rPr>
          <w:sz w:val="24"/>
          <w:szCs w:val="24"/>
        </w:rPr>
        <w:softHyphen/>
        <w:t xml:space="preserve">able income to the person receiving the payments. </w:t>
      </w:r>
    </w:p>
    <w:p w14:paraId="5F3CE08F" w14:textId="7E953A10" w:rsidR="004E6DC9" w:rsidRDefault="004E6DC9" w:rsidP="004E1A0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600B2">
        <w:rPr>
          <w:sz w:val="24"/>
          <w:szCs w:val="24"/>
        </w:rPr>
        <w:t xml:space="preserve">The term </w:t>
      </w:r>
      <w:r w:rsidR="00C1263A">
        <w:rPr>
          <w:sz w:val="24"/>
          <w:szCs w:val="24"/>
        </w:rPr>
        <w:t>“</w:t>
      </w:r>
      <w:r w:rsidRPr="008600B2">
        <w:rPr>
          <w:sz w:val="24"/>
          <w:szCs w:val="24"/>
        </w:rPr>
        <w:t>alimony,</w:t>
      </w:r>
      <w:r w:rsidR="00C1263A">
        <w:rPr>
          <w:sz w:val="24"/>
          <w:szCs w:val="24"/>
        </w:rPr>
        <w:t>”</w:t>
      </w:r>
      <w:r w:rsidRPr="008600B2">
        <w:rPr>
          <w:sz w:val="24"/>
          <w:szCs w:val="24"/>
        </w:rPr>
        <w:t xml:space="preserve"> for income tax purposes, includes </w:t>
      </w:r>
      <w:r w:rsidRPr="0094774B">
        <w:rPr>
          <w:sz w:val="24"/>
          <w:szCs w:val="24"/>
        </w:rPr>
        <w:t xml:space="preserve">separate </w:t>
      </w:r>
      <w:r w:rsidRPr="004E1A04">
        <w:rPr>
          <w:sz w:val="24"/>
          <w:szCs w:val="24"/>
        </w:rPr>
        <w:t>or periodic maintenance payments</w:t>
      </w:r>
      <w:r w:rsidRPr="0094774B">
        <w:rPr>
          <w:sz w:val="24"/>
          <w:szCs w:val="24"/>
        </w:rPr>
        <w:t xml:space="preserve"> made to a spous</w:t>
      </w:r>
      <w:r w:rsidRPr="008600B2">
        <w:rPr>
          <w:sz w:val="24"/>
          <w:szCs w:val="24"/>
        </w:rPr>
        <w:t xml:space="preserve">e or former spouse. </w:t>
      </w:r>
    </w:p>
    <w:p w14:paraId="3D7FC78F" w14:textId="77777777" w:rsidR="004E6DC9" w:rsidRDefault="004E6DC9" w:rsidP="004E1A0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600B2">
        <w:rPr>
          <w:sz w:val="24"/>
          <w:szCs w:val="24"/>
        </w:rPr>
        <w:t xml:space="preserve">Payments must meet certain requirements to be considered alimony. </w:t>
      </w:r>
    </w:p>
    <w:p w14:paraId="2444CE1E" w14:textId="0A67AA00" w:rsidR="004E6DC9" w:rsidRPr="004E1A04" w:rsidRDefault="004E6DC9" w:rsidP="004E1A0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8600B2">
        <w:rPr>
          <w:sz w:val="24"/>
          <w:szCs w:val="24"/>
        </w:rPr>
        <w:t>Rules for divorces prior to 1985 were different than they are now so consult the tax rules for that time period if reference to those particular rules</w:t>
      </w:r>
      <w:r w:rsidR="00543991">
        <w:rPr>
          <w:sz w:val="24"/>
          <w:szCs w:val="24"/>
        </w:rPr>
        <w:t xml:space="preserve"> is</w:t>
      </w:r>
      <w:r w:rsidRPr="008600B2">
        <w:rPr>
          <w:sz w:val="24"/>
          <w:szCs w:val="24"/>
        </w:rPr>
        <w:t xml:space="preserve"> needed.</w:t>
      </w:r>
    </w:p>
    <w:p w14:paraId="6B62AE4A" w14:textId="45F184B0" w:rsidR="00FE37D3" w:rsidRPr="003B65D6" w:rsidRDefault="00EF4B08" w:rsidP="004E1A0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B65D6">
        <w:rPr>
          <w:sz w:val="24"/>
          <w:szCs w:val="24"/>
        </w:rPr>
        <w:t xml:space="preserve">Alimony payments must meet </w:t>
      </w:r>
      <w:r w:rsidR="005920AA">
        <w:rPr>
          <w:sz w:val="24"/>
          <w:szCs w:val="24"/>
        </w:rPr>
        <w:t xml:space="preserve">the following </w:t>
      </w:r>
      <w:r w:rsidRPr="004E1A04">
        <w:rPr>
          <w:sz w:val="24"/>
          <w:szCs w:val="24"/>
        </w:rPr>
        <w:t xml:space="preserve">five </w:t>
      </w:r>
      <w:r w:rsidRPr="003B65D6">
        <w:rPr>
          <w:sz w:val="24"/>
          <w:szCs w:val="24"/>
        </w:rPr>
        <w:t>requirements</w:t>
      </w:r>
      <w:r w:rsidRPr="004E1A04">
        <w:rPr>
          <w:sz w:val="24"/>
          <w:szCs w:val="24"/>
        </w:rPr>
        <w:t xml:space="preserve"> </w:t>
      </w:r>
      <w:r w:rsidRPr="003B65D6">
        <w:rPr>
          <w:sz w:val="24"/>
          <w:szCs w:val="24"/>
        </w:rPr>
        <w:t>(if subject to divorce agreement after 1984)</w:t>
      </w:r>
      <w:r w:rsidR="0094774B">
        <w:rPr>
          <w:sz w:val="24"/>
          <w:szCs w:val="24"/>
        </w:rPr>
        <w:t>:</w:t>
      </w:r>
      <w:r w:rsidRPr="003B65D6">
        <w:rPr>
          <w:sz w:val="24"/>
          <w:szCs w:val="24"/>
        </w:rPr>
        <w:t xml:space="preserve"> </w:t>
      </w:r>
    </w:p>
    <w:p w14:paraId="43C53ACD" w14:textId="5D7C20BD" w:rsidR="00FE37D3" w:rsidRPr="003B65D6" w:rsidRDefault="005920AA" w:rsidP="004E1A04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Payments m</w:t>
      </w:r>
      <w:r w:rsidR="00EF4B08" w:rsidRPr="003B65D6">
        <w:rPr>
          <w:sz w:val="24"/>
          <w:szCs w:val="24"/>
        </w:rPr>
        <w:t>ust be in cash and received by ex-spouse</w:t>
      </w:r>
      <w:r>
        <w:rPr>
          <w:sz w:val="24"/>
          <w:szCs w:val="24"/>
        </w:rPr>
        <w:t>.</w:t>
      </w:r>
    </w:p>
    <w:p w14:paraId="006DB64C" w14:textId="7E00D377" w:rsidR="00FE37D3" w:rsidRPr="003B65D6" w:rsidRDefault="005920AA" w:rsidP="004E1A04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Payments m</w:t>
      </w:r>
      <w:r w:rsidR="00EF4B08" w:rsidRPr="003B65D6">
        <w:rPr>
          <w:sz w:val="24"/>
          <w:szCs w:val="24"/>
        </w:rPr>
        <w:t>ust be made in connection with written instrument</w:t>
      </w:r>
      <w:r>
        <w:rPr>
          <w:sz w:val="24"/>
          <w:szCs w:val="24"/>
        </w:rPr>
        <w:t>.</w:t>
      </w:r>
      <w:r w:rsidR="00EF4B08" w:rsidRPr="003B65D6">
        <w:rPr>
          <w:sz w:val="24"/>
          <w:szCs w:val="24"/>
        </w:rPr>
        <w:t xml:space="preserve"> </w:t>
      </w:r>
    </w:p>
    <w:p w14:paraId="0BF743B3" w14:textId="7E841547" w:rsidR="00FE37D3" w:rsidRPr="003B65D6" w:rsidRDefault="005920AA" w:rsidP="004E1A04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Payments c</w:t>
      </w:r>
      <w:r w:rsidR="00EF4B08" w:rsidRPr="003B65D6">
        <w:rPr>
          <w:sz w:val="24"/>
          <w:szCs w:val="24"/>
        </w:rPr>
        <w:t>an</w:t>
      </w:r>
      <w:r>
        <w:rPr>
          <w:sz w:val="24"/>
          <w:szCs w:val="24"/>
        </w:rPr>
        <w:t>not</w:t>
      </w:r>
      <w:r w:rsidR="00EF4B08" w:rsidRPr="003B65D6">
        <w:rPr>
          <w:sz w:val="24"/>
          <w:szCs w:val="24"/>
        </w:rPr>
        <w:t xml:space="preserve"> continue after death of ex-spouse</w:t>
      </w:r>
      <w:r>
        <w:rPr>
          <w:sz w:val="24"/>
          <w:szCs w:val="24"/>
        </w:rPr>
        <w:t>.</w:t>
      </w:r>
    </w:p>
    <w:p w14:paraId="27ECE573" w14:textId="77F775F1" w:rsidR="00FE37D3" w:rsidRPr="003B65D6" w:rsidRDefault="005920AA" w:rsidP="004E1A04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Payments c</w:t>
      </w:r>
      <w:r w:rsidR="00EF4B08" w:rsidRPr="003B65D6">
        <w:rPr>
          <w:sz w:val="24"/>
          <w:szCs w:val="24"/>
        </w:rPr>
        <w:t>an</w:t>
      </w:r>
      <w:r>
        <w:rPr>
          <w:sz w:val="24"/>
          <w:szCs w:val="24"/>
        </w:rPr>
        <w:t>not</w:t>
      </w:r>
      <w:r w:rsidR="00EF4B08" w:rsidRPr="003B65D6">
        <w:rPr>
          <w:sz w:val="24"/>
          <w:szCs w:val="24"/>
        </w:rPr>
        <w:t xml:space="preserve"> be designated as anything other than alimony</w:t>
      </w:r>
      <w:r>
        <w:rPr>
          <w:sz w:val="24"/>
          <w:szCs w:val="24"/>
        </w:rPr>
        <w:t>.</w:t>
      </w:r>
    </w:p>
    <w:p w14:paraId="462B2D54" w14:textId="611FD2B5" w:rsidR="00FE37D3" w:rsidRPr="003B65D6" w:rsidRDefault="00EF4B08" w:rsidP="004E1A0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3B65D6">
        <w:rPr>
          <w:sz w:val="24"/>
          <w:szCs w:val="24"/>
        </w:rPr>
        <w:t>Parties may not be members of the same household</w:t>
      </w:r>
      <w:r w:rsidR="005920AA">
        <w:rPr>
          <w:sz w:val="24"/>
          <w:szCs w:val="24"/>
        </w:rPr>
        <w:t>.</w:t>
      </w:r>
    </w:p>
    <w:p w14:paraId="04465F92" w14:textId="77777777" w:rsidR="00ED303B" w:rsidRDefault="00ED303B" w:rsidP="004E1A04">
      <w:pPr>
        <w:rPr>
          <w:sz w:val="24"/>
          <w:szCs w:val="24"/>
        </w:rPr>
      </w:pPr>
    </w:p>
    <w:p w14:paraId="5DDEB5A3" w14:textId="77777777" w:rsidR="003B65D6" w:rsidRPr="004E1A04" w:rsidRDefault="003B65D6" w:rsidP="004E1A04">
      <w:pPr>
        <w:rPr>
          <w:b/>
          <w:sz w:val="24"/>
          <w:szCs w:val="24"/>
        </w:rPr>
      </w:pPr>
      <w:r w:rsidRPr="004E1A04">
        <w:rPr>
          <w:b/>
          <w:sz w:val="24"/>
          <w:szCs w:val="24"/>
        </w:rPr>
        <w:t>Property Transfers</w:t>
      </w:r>
    </w:p>
    <w:p w14:paraId="43EB0907" w14:textId="77777777" w:rsidR="00FE37D3" w:rsidRPr="003B65D6" w:rsidRDefault="00EF4B08" w:rsidP="004E1A04">
      <w:pPr>
        <w:numPr>
          <w:ilvl w:val="0"/>
          <w:numId w:val="52"/>
        </w:numPr>
        <w:rPr>
          <w:sz w:val="24"/>
          <w:szCs w:val="24"/>
        </w:rPr>
      </w:pPr>
      <w:r w:rsidRPr="003B65D6">
        <w:rPr>
          <w:sz w:val="24"/>
          <w:szCs w:val="24"/>
        </w:rPr>
        <w:t xml:space="preserve">A spouse who transfers property in settlement of a marital obligation is not required to recognize any gain as a result of the property’s appreciation. </w:t>
      </w:r>
    </w:p>
    <w:p w14:paraId="74E6E110" w14:textId="77777777" w:rsidR="003B65D6" w:rsidRDefault="003B65D6" w:rsidP="004E1A04">
      <w:pPr>
        <w:rPr>
          <w:sz w:val="24"/>
          <w:szCs w:val="24"/>
        </w:rPr>
      </w:pPr>
    </w:p>
    <w:p w14:paraId="40D4D780" w14:textId="77777777" w:rsidR="00543991" w:rsidRDefault="00543991" w:rsidP="004E1A04">
      <w:pPr>
        <w:widowControl/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AC63114" w14:textId="6083F181" w:rsidR="003B65D6" w:rsidRPr="004E1A04" w:rsidRDefault="003B65D6" w:rsidP="004E1A04">
      <w:pPr>
        <w:rPr>
          <w:b/>
          <w:sz w:val="24"/>
          <w:szCs w:val="24"/>
        </w:rPr>
      </w:pPr>
      <w:r w:rsidRPr="004E1A04">
        <w:rPr>
          <w:b/>
          <w:sz w:val="24"/>
          <w:szCs w:val="24"/>
        </w:rPr>
        <w:t>Child Support</w:t>
      </w:r>
    </w:p>
    <w:p w14:paraId="10559673" w14:textId="726B216F" w:rsidR="00FE37D3" w:rsidRPr="003B65D6" w:rsidRDefault="00EF4B08" w:rsidP="004E1A04">
      <w:pPr>
        <w:numPr>
          <w:ilvl w:val="0"/>
          <w:numId w:val="65"/>
        </w:numPr>
        <w:rPr>
          <w:sz w:val="24"/>
          <w:szCs w:val="24"/>
        </w:rPr>
      </w:pPr>
      <w:r w:rsidRPr="003B65D6">
        <w:rPr>
          <w:sz w:val="24"/>
          <w:szCs w:val="24"/>
        </w:rPr>
        <w:t>Child support is not deductible to payer and not taxable to payee</w:t>
      </w:r>
      <w:r w:rsidR="0094774B">
        <w:rPr>
          <w:sz w:val="24"/>
          <w:szCs w:val="24"/>
        </w:rPr>
        <w:t>.</w:t>
      </w:r>
      <w:r w:rsidRPr="003B65D6">
        <w:rPr>
          <w:sz w:val="24"/>
          <w:szCs w:val="24"/>
        </w:rPr>
        <w:t xml:space="preserve"> </w:t>
      </w:r>
      <w:r w:rsidRPr="003B65D6">
        <w:rPr>
          <w:sz w:val="24"/>
          <w:szCs w:val="24"/>
        </w:rPr>
        <w:tab/>
      </w:r>
    </w:p>
    <w:p w14:paraId="3E796683" w14:textId="0B21AD3F" w:rsidR="00FE37D3" w:rsidRPr="003B65D6" w:rsidRDefault="001A6614" w:rsidP="004E1A04">
      <w:pPr>
        <w:numPr>
          <w:ilvl w:val="0"/>
          <w:numId w:val="65"/>
        </w:numPr>
        <w:rPr>
          <w:sz w:val="24"/>
          <w:szCs w:val="24"/>
        </w:rPr>
      </w:pPr>
      <w:r>
        <w:rPr>
          <w:sz w:val="24"/>
          <w:szCs w:val="24"/>
        </w:rPr>
        <w:t>It i</w:t>
      </w:r>
      <w:r w:rsidR="00EF4B08" w:rsidRPr="003B65D6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an </w:t>
      </w:r>
      <w:r w:rsidR="00EF4B08" w:rsidRPr="003B65D6">
        <w:rPr>
          <w:sz w:val="24"/>
          <w:szCs w:val="24"/>
        </w:rPr>
        <w:t>important factor, however, in determining which spouse gets dependency exemption</w:t>
      </w:r>
      <w:r>
        <w:rPr>
          <w:sz w:val="24"/>
          <w:szCs w:val="24"/>
        </w:rPr>
        <w:t>.</w:t>
      </w:r>
    </w:p>
    <w:p w14:paraId="552EAC3B" w14:textId="77777777" w:rsidR="00A55A77" w:rsidRDefault="00A55A77" w:rsidP="004E1A04">
      <w:pPr>
        <w:rPr>
          <w:sz w:val="24"/>
          <w:szCs w:val="24"/>
        </w:rPr>
      </w:pPr>
    </w:p>
    <w:p w14:paraId="565DF6E6" w14:textId="7F02A6DF" w:rsidR="00906912" w:rsidRDefault="00906912" w:rsidP="004E1A04">
      <w:pPr>
        <w:keepNext/>
        <w:outlineLvl w:val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Learning Objective 2.14</w:t>
      </w:r>
      <w:r w:rsidR="00ED303B">
        <w:rPr>
          <w:b/>
          <w:bCs/>
          <w:sz w:val="24"/>
          <w:szCs w:val="24"/>
          <w:u w:val="single"/>
        </w:rPr>
        <w:t xml:space="preserve"> </w:t>
      </w:r>
      <w:r w:rsidR="0030483B">
        <w:rPr>
          <w:b/>
          <w:bCs/>
          <w:sz w:val="24"/>
          <w:szCs w:val="24"/>
          <w:u w:val="single"/>
        </w:rPr>
        <w:tab/>
      </w:r>
      <w:r>
        <w:rPr>
          <w:b/>
          <w:bCs/>
          <w:sz w:val="24"/>
          <w:szCs w:val="24"/>
          <w:u w:val="single"/>
        </w:rPr>
        <w:t>Educational Incentives</w:t>
      </w:r>
    </w:p>
    <w:p w14:paraId="3DC158CE" w14:textId="23C8A2BD" w:rsidR="00906912" w:rsidRDefault="00906912" w:rsidP="004E1A04">
      <w:pPr>
        <w:rPr>
          <w:sz w:val="24"/>
          <w:szCs w:val="24"/>
        </w:rPr>
      </w:pPr>
      <w:r>
        <w:rPr>
          <w:sz w:val="24"/>
          <w:szCs w:val="24"/>
        </w:rPr>
        <w:t>Qualified Tuition Programs (QTP) allow taxpayers to buy in-kind tuition credits for qualified higher education expenses or to contribute to an account</w:t>
      </w:r>
      <w:r w:rsidR="00CB4C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D78BCF7" w14:textId="77777777" w:rsidR="00906912" w:rsidRDefault="00906912" w:rsidP="004E1A04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AD0F09">
        <w:rPr>
          <w:sz w:val="24"/>
          <w:szCs w:val="24"/>
        </w:rPr>
        <w:t xml:space="preserve">Qualified higher education expenses include tuition, fees, books, supplies, and equipment required for the enrollment or attendance at an eligible education intuition.   </w:t>
      </w:r>
    </w:p>
    <w:p w14:paraId="5BF6194F" w14:textId="6317EB86" w:rsidR="00906912" w:rsidRDefault="004F5C87" w:rsidP="004E1A04">
      <w:pPr>
        <w:pStyle w:val="ListParagraph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There is n</w:t>
      </w:r>
      <w:r w:rsidR="00906912" w:rsidRPr="00AD0F09">
        <w:rPr>
          <w:sz w:val="24"/>
          <w:szCs w:val="24"/>
        </w:rPr>
        <w:t>o income limit on the amount of contributions to the QTP</w:t>
      </w:r>
      <w:r>
        <w:rPr>
          <w:sz w:val="24"/>
          <w:szCs w:val="24"/>
        </w:rPr>
        <w:t>.</w:t>
      </w:r>
    </w:p>
    <w:p w14:paraId="0B35D3C7" w14:textId="77777777" w:rsidR="00906912" w:rsidRDefault="00906912" w:rsidP="004E1A04">
      <w:pPr>
        <w:pStyle w:val="ListParagraph"/>
        <w:numPr>
          <w:ilvl w:val="1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AD0F09">
        <w:rPr>
          <w:sz w:val="24"/>
          <w:szCs w:val="24"/>
        </w:rPr>
        <w:t xml:space="preserve">ontributions are </w:t>
      </w:r>
      <w:r w:rsidRPr="00C53788">
        <w:rPr>
          <w:i/>
          <w:sz w:val="24"/>
          <w:szCs w:val="24"/>
        </w:rPr>
        <w:t>not</w:t>
      </w:r>
      <w:r w:rsidRPr="00AD0F09">
        <w:rPr>
          <w:sz w:val="24"/>
          <w:szCs w:val="24"/>
        </w:rPr>
        <w:t xml:space="preserve"> tax deductible.</w:t>
      </w:r>
    </w:p>
    <w:p w14:paraId="2B0A383C" w14:textId="27B35CBB" w:rsidR="00906912" w:rsidRDefault="00906912" w:rsidP="004E1A04">
      <w:pPr>
        <w:pStyle w:val="ListParagraph"/>
        <w:numPr>
          <w:ilvl w:val="1"/>
          <w:numId w:val="41"/>
        </w:numPr>
        <w:rPr>
          <w:sz w:val="24"/>
          <w:szCs w:val="24"/>
        </w:rPr>
      </w:pPr>
      <w:r w:rsidRPr="00AD0F09">
        <w:rPr>
          <w:sz w:val="24"/>
          <w:szCs w:val="24"/>
        </w:rPr>
        <w:t>The contributions are considered gifts and thus subject to gift tax rules.</w:t>
      </w:r>
      <w:r>
        <w:rPr>
          <w:sz w:val="24"/>
          <w:szCs w:val="24"/>
        </w:rPr>
        <w:t xml:space="preserve"> </w:t>
      </w:r>
    </w:p>
    <w:p w14:paraId="421C1F74" w14:textId="5A91E32F" w:rsidR="00ED303B" w:rsidRDefault="004F5C87" w:rsidP="004E1A04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Qualified higher education expenses</w:t>
      </w:r>
      <w:r w:rsidR="00ED303B">
        <w:rPr>
          <w:sz w:val="24"/>
          <w:szCs w:val="24"/>
        </w:rPr>
        <w:t xml:space="preserve"> include tuition in connection with enrollment </w:t>
      </w:r>
      <w:r>
        <w:rPr>
          <w:sz w:val="24"/>
          <w:szCs w:val="24"/>
        </w:rPr>
        <w:t xml:space="preserve">or attendance </w:t>
      </w:r>
      <w:r w:rsidR="00ED303B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an </w:t>
      </w:r>
      <w:r w:rsidR="00ED303B">
        <w:rPr>
          <w:sz w:val="24"/>
          <w:szCs w:val="24"/>
        </w:rPr>
        <w:t>elementary</w:t>
      </w:r>
      <w:r>
        <w:rPr>
          <w:sz w:val="24"/>
          <w:szCs w:val="24"/>
        </w:rPr>
        <w:t xml:space="preserve"> or </w:t>
      </w:r>
      <w:r w:rsidR="00ED303B">
        <w:rPr>
          <w:sz w:val="24"/>
          <w:szCs w:val="24"/>
        </w:rPr>
        <w:t>secondary public, private, or religious school</w:t>
      </w:r>
      <w:r w:rsidR="0094774B">
        <w:rPr>
          <w:sz w:val="24"/>
          <w:szCs w:val="24"/>
        </w:rPr>
        <w:t>.</w:t>
      </w:r>
    </w:p>
    <w:p w14:paraId="3B54F279" w14:textId="77777777" w:rsidR="00906912" w:rsidRDefault="00906912" w:rsidP="004E1A04">
      <w:pPr>
        <w:rPr>
          <w:sz w:val="24"/>
          <w:szCs w:val="24"/>
        </w:rPr>
      </w:pPr>
    </w:p>
    <w:p w14:paraId="44E6D5FC" w14:textId="1DCBEA12" w:rsidR="00906912" w:rsidRDefault="00906912" w:rsidP="004E1A04">
      <w:pPr>
        <w:rPr>
          <w:sz w:val="24"/>
          <w:szCs w:val="24"/>
        </w:rPr>
      </w:pPr>
      <w:r>
        <w:rPr>
          <w:sz w:val="24"/>
          <w:szCs w:val="24"/>
        </w:rPr>
        <w:t>Educational savings accounts (ESAs) are established to pay for qualified higher ed</w:t>
      </w:r>
      <w:r w:rsidR="004F5C87">
        <w:rPr>
          <w:sz w:val="24"/>
          <w:szCs w:val="24"/>
        </w:rPr>
        <w:t>ucation</w:t>
      </w:r>
      <w:r>
        <w:rPr>
          <w:sz w:val="24"/>
          <w:szCs w:val="24"/>
        </w:rPr>
        <w:t xml:space="preserve"> expenses.  </w:t>
      </w:r>
    </w:p>
    <w:p w14:paraId="66AC1011" w14:textId="77777777" w:rsidR="00906912" w:rsidRDefault="00906912" w:rsidP="004E1A04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AD0F09">
        <w:rPr>
          <w:sz w:val="24"/>
          <w:szCs w:val="24"/>
        </w:rPr>
        <w:t xml:space="preserve">The maximum annual contribution to these plans is $2,000.  </w:t>
      </w:r>
    </w:p>
    <w:p w14:paraId="71F14F1D" w14:textId="77777777" w:rsidR="00906912" w:rsidRDefault="00906912" w:rsidP="004E1A04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AD0F09">
        <w:rPr>
          <w:sz w:val="24"/>
          <w:szCs w:val="24"/>
        </w:rPr>
        <w:t xml:space="preserve">Contributions can be made until the designated beneficiary reaches 18.  </w:t>
      </w:r>
    </w:p>
    <w:p w14:paraId="5174FDCD" w14:textId="18B5F9DE" w:rsidR="00906912" w:rsidRDefault="004F5C87" w:rsidP="004E1A04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Taxpayer c</w:t>
      </w:r>
      <w:r w:rsidR="00906912">
        <w:rPr>
          <w:sz w:val="24"/>
          <w:szCs w:val="24"/>
        </w:rPr>
        <w:t>an</w:t>
      </w:r>
      <w:r>
        <w:rPr>
          <w:sz w:val="24"/>
          <w:szCs w:val="24"/>
        </w:rPr>
        <w:t>no</w:t>
      </w:r>
      <w:r w:rsidR="00906912">
        <w:rPr>
          <w:sz w:val="24"/>
          <w:szCs w:val="24"/>
        </w:rPr>
        <w:t>t contribute to an</w:t>
      </w:r>
      <w:r w:rsidR="00906912" w:rsidRPr="00AD0F09">
        <w:rPr>
          <w:sz w:val="24"/>
          <w:szCs w:val="24"/>
        </w:rPr>
        <w:t xml:space="preserve"> ESA in the same year a contribution is made to a </w:t>
      </w:r>
      <w:r w:rsidR="00906912">
        <w:rPr>
          <w:sz w:val="24"/>
          <w:szCs w:val="24"/>
        </w:rPr>
        <w:t>QTP</w:t>
      </w:r>
      <w:r>
        <w:rPr>
          <w:sz w:val="24"/>
          <w:szCs w:val="24"/>
        </w:rPr>
        <w:t>.</w:t>
      </w:r>
    </w:p>
    <w:p w14:paraId="10397B77" w14:textId="727E5A42" w:rsidR="00906912" w:rsidRPr="004E1A04" w:rsidRDefault="004F5C87" w:rsidP="004E1A04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Contributions are p</w:t>
      </w:r>
      <w:r w:rsidR="00EF4B08" w:rsidRPr="003B65D6">
        <w:rPr>
          <w:sz w:val="24"/>
          <w:szCs w:val="24"/>
        </w:rPr>
        <w:t>hase</w:t>
      </w:r>
      <w:r>
        <w:rPr>
          <w:sz w:val="24"/>
          <w:szCs w:val="24"/>
        </w:rPr>
        <w:t xml:space="preserve">d </w:t>
      </w:r>
      <w:r w:rsidR="00EF4B08" w:rsidRPr="003B65D6">
        <w:rPr>
          <w:sz w:val="24"/>
          <w:szCs w:val="24"/>
        </w:rPr>
        <w:t xml:space="preserve">out when AGI </w:t>
      </w:r>
      <w:r w:rsidR="00E84BF7">
        <w:rPr>
          <w:sz w:val="24"/>
          <w:szCs w:val="24"/>
        </w:rPr>
        <w:t>is between</w:t>
      </w:r>
      <w:r w:rsidR="00EF4B08" w:rsidRPr="003B65D6">
        <w:rPr>
          <w:sz w:val="24"/>
          <w:szCs w:val="24"/>
        </w:rPr>
        <w:t xml:space="preserve"> $190,000</w:t>
      </w:r>
      <w:r w:rsidR="00E84BF7">
        <w:rPr>
          <w:sz w:val="24"/>
          <w:szCs w:val="24"/>
        </w:rPr>
        <w:t xml:space="preserve"> and $220,000</w:t>
      </w:r>
      <w:r w:rsidR="00EF4B08" w:rsidRPr="003B65D6">
        <w:rPr>
          <w:sz w:val="24"/>
          <w:szCs w:val="24"/>
        </w:rPr>
        <w:t xml:space="preserve"> (MFJ) or</w:t>
      </w:r>
      <w:r w:rsidR="00E84BF7">
        <w:rPr>
          <w:sz w:val="24"/>
          <w:szCs w:val="24"/>
        </w:rPr>
        <w:t xml:space="preserve"> between</w:t>
      </w:r>
      <w:r w:rsidR="00EF4B08" w:rsidRPr="003B65D6">
        <w:rPr>
          <w:sz w:val="24"/>
          <w:szCs w:val="24"/>
        </w:rPr>
        <w:t xml:space="preserve"> $95,000 </w:t>
      </w:r>
      <w:r w:rsidR="00E84BF7">
        <w:rPr>
          <w:sz w:val="24"/>
          <w:szCs w:val="24"/>
        </w:rPr>
        <w:t xml:space="preserve">and $110,000 </w:t>
      </w:r>
      <w:r w:rsidR="00EF4B08" w:rsidRPr="003B65D6">
        <w:rPr>
          <w:sz w:val="24"/>
          <w:szCs w:val="24"/>
        </w:rPr>
        <w:t>(S)</w:t>
      </w:r>
      <w:r w:rsidR="00E84BF7">
        <w:rPr>
          <w:sz w:val="24"/>
          <w:szCs w:val="24"/>
        </w:rPr>
        <w:t>.</w:t>
      </w:r>
    </w:p>
    <w:p w14:paraId="08423D7B" w14:textId="051862E3" w:rsidR="00906912" w:rsidRDefault="00906912" w:rsidP="004E1A04">
      <w:pPr>
        <w:pStyle w:val="ListParagraph"/>
        <w:numPr>
          <w:ilvl w:val="1"/>
          <w:numId w:val="42"/>
        </w:numPr>
        <w:rPr>
          <w:sz w:val="24"/>
          <w:szCs w:val="24"/>
        </w:rPr>
      </w:pPr>
      <w:r w:rsidRPr="00AD0F09">
        <w:rPr>
          <w:sz w:val="24"/>
          <w:szCs w:val="24"/>
        </w:rPr>
        <w:t xml:space="preserve">Contributions must be made by April 15 of </w:t>
      </w:r>
      <w:r w:rsidR="00E84BF7">
        <w:rPr>
          <w:sz w:val="24"/>
          <w:szCs w:val="24"/>
        </w:rPr>
        <w:t xml:space="preserve">the </w:t>
      </w:r>
      <w:r w:rsidRPr="00AD0F09">
        <w:rPr>
          <w:sz w:val="24"/>
          <w:szCs w:val="24"/>
        </w:rPr>
        <w:t xml:space="preserve">following tax year.  </w:t>
      </w:r>
    </w:p>
    <w:p w14:paraId="703D4277" w14:textId="77777777" w:rsidR="00ED303B" w:rsidRDefault="00ED303B" w:rsidP="004E1A04">
      <w:pPr>
        <w:pStyle w:val="ListParagraph"/>
        <w:ind w:left="1440"/>
        <w:rPr>
          <w:sz w:val="24"/>
          <w:szCs w:val="24"/>
        </w:rPr>
      </w:pPr>
    </w:p>
    <w:p w14:paraId="13965072" w14:textId="6BA88A48" w:rsidR="00E84BF7" w:rsidRPr="004E1A04" w:rsidRDefault="00ED303B" w:rsidP="004E1A04">
      <w:pPr>
        <w:pStyle w:val="ListParagraph"/>
        <w:ind w:left="0"/>
        <w:rPr>
          <w:b/>
          <w:sz w:val="24"/>
          <w:szCs w:val="24"/>
        </w:rPr>
      </w:pPr>
      <w:r w:rsidRPr="004E1A04">
        <w:rPr>
          <w:b/>
          <w:sz w:val="24"/>
          <w:szCs w:val="24"/>
        </w:rPr>
        <w:t>Higher Education Expense</w:t>
      </w:r>
      <w:r w:rsidR="00E84BF7" w:rsidRPr="004E1A04">
        <w:rPr>
          <w:b/>
          <w:sz w:val="24"/>
          <w:szCs w:val="24"/>
        </w:rPr>
        <w:t>s</w:t>
      </w:r>
      <w:r w:rsidRPr="004E1A04">
        <w:rPr>
          <w:b/>
          <w:sz w:val="24"/>
          <w:szCs w:val="24"/>
        </w:rPr>
        <w:t xml:space="preserve"> Deduction </w:t>
      </w:r>
    </w:p>
    <w:p w14:paraId="792BC491" w14:textId="63AA830B" w:rsidR="00ED303B" w:rsidRDefault="00E84BF7" w:rsidP="004E1A04">
      <w:pPr>
        <w:pStyle w:val="ListParagraph"/>
        <w:numPr>
          <w:ilvl w:val="0"/>
          <w:numId w:val="71"/>
        </w:numPr>
        <w:rPr>
          <w:sz w:val="24"/>
          <w:szCs w:val="24"/>
        </w:rPr>
      </w:pPr>
      <w:r>
        <w:rPr>
          <w:sz w:val="24"/>
          <w:szCs w:val="24"/>
        </w:rPr>
        <w:t>In 2017, taxpayers were allowed an “</w:t>
      </w:r>
      <w:r w:rsidR="00ED303B">
        <w:rPr>
          <w:sz w:val="24"/>
          <w:szCs w:val="24"/>
        </w:rPr>
        <w:t>above-the-line</w:t>
      </w:r>
      <w:r>
        <w:rPr>
          <w:sz w:val="24"/>
          <w:szCs w:val="24"/>
        </w:rPr>
        <w:t>”</w:t>
      </w:r>
      <w:r w:rsidR="00ED303B">
        <w:rPr>
          <w:sz w:val="24"/>
          <w:szCs w:val="24"/>
        </w:rPr>
        <w:t xml:space="preserve"> deduction for qualified tuition</w:t>
      </w:r>
      <w:r>
        <w:rPr>
          <w:sz w:val="24"/>
          <w:szCs w:val="24"/>
        </w:rPr>
        <w:t xml:space="preserve"> and </w:t>
      </w:r>
      <w:r w:rsidR="00ED303B">
        <w:rPr>
          <w:sz w:val="24"/>
          <w:szCs w:val="24"/>
        </w:rPr>
        <w:t>related expenses</w:t>
      </w:r>
      <w:r>
        <w:rPr>
          <w:sz w:val="24"/>
          <w:szCs w:val="24"/>
        </w:rPr>
        <w:t>.</w:t>
      </w:r>
    </w:p>
    <w:p w14:paraId="1F20D9E7" w14:textId="6D08AC16" w:rsidR="00ED303B" w:rsidRDefault="00E84BF7" w:rsidP="004E1A04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It is no</w:t>
      </w:r>
      <w:r w:rsidR="00ED303B">
        <w:rPr>
          <w:sz w:val="24"/>
          <w:szCs w:val="24"/>
        </w:rPr>
        <w:t xml:space="preserve"> longer</w:t>
      </w:r>
      <w:r w:rsidR="00062A3B">
        <w:rPr>
          <w:sz w:val="24"/>
          <w:szCs w:val="24"/>
        </w:rPr>
        <w:t xml:space="preserve"> available, but this deduction </w:t>
      </w:r>
      <w:r>
        <w:rPr>
          <w:sz w:val="24"/>
          <w:szCs w:val="24"/>
        </w:rPr>
        <w:t>w</w:t>
      </w:r>
      <w:r w:rsidR="00062A3B">
        <w:rPr>
          <w:sz w:val="24"/>
          <w:szCs w:val="24"/>
        </w:rPr>
        <w:t>as previously extended a number of times</w:t>
      </w:r>
      <w:r>
        <w:rPr>
          <w:sz w:val="24"/>
          <w:szCs w:val="24"/>
        </w:rPr>
        <w:t>.</w:t>
      </w:r>
    </w:p>
    <w:p w14:paraId="4A5423B2" w14:textId="2D10F197" w:rsidR="00062A3B" w:rsidRPr="00ED303B" w:rsidRDefault="00E84BF7" w:rsidP="004E1A04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The d</w:t>
      </w:r>
      <w:r w:rsidR="00062A3B">
        <w:rPr>
          <w:sz w:val="24"/>
          <w:szCs w:val="24"/>
        </w:rPr>
        <w:t xml:space="preserve">eduction is $4,000 for single/head of household </w:t>
      </w:r>
      <w:r>
        <w:rPr>
          <w:sz w:val="24"/>
          <w:szCs w:val="24"/>
        </w:rPr>
        <w:t xml:space="preserve">taxpayers </w:t>
      </w:r>
      <w:r w:rsidR="00062A3B">
        <w:rPr>
          <w:sz w:val="24"/>
          <w:szCs w:val="24"/>
        </w:rPr>
        <w:t xml:space="preserve">with AGI below $65,000 and married filing jointly </w:t>
      </w:r>
      <w:r>
        <w:rPr>
          <w:sz w:val="24"/>
          <w:szCs w:val="24"/>
        </w:rPr>
        <w:t xml:space="preserve">taxpayers </w:t>
      </w:r>
      <w:r w:rsidR="00062A3B">
        <w:rPr>
          <w:sz w:val="24"/>
          <w:szCs w:val="24"/>
        </w:rPr>
        <w:t>with AGI below $130,000.</w:t>
      </w:r>
    </w:p>
    <w:p w14:paraId="72F71E7D" w14:textId="77777777" w:rsidR="003B65D6" w:rsidRDefault="003B65D6" w:rsidP="004E1A04">
      <w:pPr>
        <w:rPr>
          <w:sz w:val="24"/>
          <w:szCs w:val="24"/>
        </w:rPr>
      </w:pPr>
    </w:p>
    <w:p w14:paraId="6EB35F1C" w14:textId="1A0957EE" w:rsidR="004E6DC9" w:rsidRDefault="004E6DC9" w:rsidP="004E1A04">
      <w:pPr>
        <w:keepNext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 2.15</w:t>
      </w:r>
      <w:r w:rsidR="00EA6FEE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ab/>
        <w:t>Unemployment Compensation</w:t>
      </w:r>
    </w:p>
    <w:p w14:paraId="72549C45" w14:textId="77777777" w:rsidR="004E6DC9" w:rsidRDefault="004E6DC9" w:rsidP="004E1A04">
      <w:pPr>
        <w:rPr>
          <w:sz w:val="24"/>
          <w:szCs w:val="24"/>
        </w:rPr>
      </w:pPr>
      <w:r>
        <w:rPr>
          <w:sz w:val="24"/>
          <w:szCs w:val="24"/>
        </w:rPr>
        <w:t xml:space="preserve">Unemployment compensation is fully taxable and must be included in the taxpayer’s gross income.  </w:t>
      </w:r>
    </w:p>
    <w:p w14:paraId="6C0B0122" w14:textId="7E110AC4" w:rsidR="00FE37D3" w:rsidRPr="004E1A04" w:rsidRDefault="0002266F" w:rsidP="004E1A04">
      <w:pPr>
        <w:keepNext/>
        <w:numPr>
          <w:ilvl w:val="0"/>
          <w:numId w:val="66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It is r</w:t>
      </w:r>
      <w:r w:rsidR="00EF4B08" w:rsidRPr="004E1A04">
        <w:rPr>
          <w:bCs/>
          <w:sz w:val="24"/>
          <w:szCs w:val="24"/>
        </w:rPr>
        <w:t>eported on Form 1099-G</w:t>
      </w:r>
      <w:r>
        <w:rPr>
          <w:bCs/>
          <w:sz w:val="24"/>
          <w:szCs w:val="24"/>
        </w:rPr>
        <w:t>.</w:t>
      </w:r>
    </w:p>
    <w:p w14:paraId="7D376B0F" w14:textId="6ED6EF88" w:rsidR="00FE37D3" w:rsidRPr="004E1A04" w:rsidRDefault="00EF4B08" w:rsidP="004E1A04">
      <w:pPr>
        <w:keepNext/>
        <w:numPr>
          <w:ilvl w:val="0"/>
          <w:numId w:val="66"/>
        </w:numPr>
        <w:rPr>
          <w:bCs/>
          <w:sz w:val="24"/>
          <w:szCs w:val="24"/>
        </w:rPr>
      </w:pPr>
      <w:r w:rsidRPr="004E1A04">
        <w:rPr>
          <w:bCs/>
          <w:sz w:val="24"/>
          <w:szCs w:val="24"/>
        </w:rPr>
        <w:t>These payments are deductible on some state</w:t>
      </w:r>
      <w:r w:rsidR="0002266F">
        <w:rPr>
          <w:bCs/>
          <w:sz w:val="24"/>
          <w:szCs w:val="24"/>
        </w:rPr>
        <w:t>s</w:t>
      </w:r>
      <w:r w:rsidRPr="004E1A04">
        <w:rPr>
          <w:bCs/>
          <w:sz w:val="24"/>
          <w:szCs w:val="24"/>
        </w:rPr>
        <w:t>’ income tax returns</w:t>
      </w:r>
      <w:r w:rsidR="004E7663">
        <w:rPr>
          <w:bCs/>
          <w:sz w:val="24"/>
          <w:szCs w:val="24"/>
        </w:rPr>
        <w:t>.</w:t>
      </w:r>
    </w:p>
    <w:p w14:paraId="08BA43F5" w14:textId="77777777" w:rsidR="004E6DC9" w:rsidRDefault="004E6DC9" w:rsidP="004E1A04">
      <w:pPr>
        <w:keepNext/>
        <w:rPr>
          <w:b/>
          <w:bCs/>
          <w:sz w:val="24"/>
          <w:szCs w:val="24"/>
          <w:u w:val="single"/>
        </w:rPr>
      </w:pPr>
    </w:p>
    <w:p w14:paraId="6CCDB26B" w14:textId="1C02399D" w:rsidR="00A55A77" w:rsidRDefault="004548CF" w:rsidP="004E1A04">
      <w:pPr>
        <w:keepNext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</w:t>
      </w:r>
      <w:r w:rsidR="00A55A77">
        <w:rPr>
          <w:b/>
          <w:bCs/>
          <w:sz w:val="24"/>
          <w:szCs w:val="24"/>
          <w:u w:val="single"/>
        </w:rPr>
        <w:t xml:space="preserve"> 2.</w:t>
      </w:r>
      <w:r w:rsidR="00D23591">
        <w:rPr>
          <w:b/>
          <w:bCs/>
          <w:sz w:val="24"/>
          <w:szCs w:val="24"/>
          <w:u w:val="single"/>
        </w:rPr>
        <w:t>1</w:t>
      </w:r>
      <w:r w:rsidR="00906912">
        <w:rPr>
          <w:b/>
          <w:bCs/>
          <w:sz w:val="24"/>
          <w:szCs w:val="24"/>
          <w:u w:val="single"/>
        </w:rPr>
        <w:t>6</w:t>
      </w:r>
      <w:r w:rsidR="00A55A77">
        <w:rPr>
          <w:b/>
          <w:bCs/>
          <w:sz w:val="24"/>
          <w:szCs w:val="24"/>
          <w:u w:val="single"/>
        </w:rPr>
        <w:tab/>
        <w:t>Social Security Benefits</w:t>
      </w:r>
    </w:p>
    <w:p w14:paraId="2A42975A" w14:textId="46B03369" w:rsidR="00CF50A9" w:rsidRDefault="00A55A77" w:rsidP="004E1A04">
      <w:pPr>
        <w:pStyle w:val="ListParagraph"/>
        <w:numPr>
          <w:ilvl w:val="0"/>
          <w:numId w:val="40"/>
        </w:numPr>
        <w:ind w:right="360"/>
        <w:rPr>
          <w:sz w:val="24"/>
          <w:szCs w:val="24"/>
        </w:rPr>
      </w:pPr>
      <w:r w:rsidRPr="00CF50A9">
        <w:rPr>
          <w:sz w:val="24"/>
          <w:szCs w:val="24"/>
        </w:rPr>
        <w:t xml:space="preserve">Many taxpayers </w:t>
      </w:r>
      <w:r w:rsidR="007810A3" w:rsidRPr="00CF50A9">
        <w:rPr>
          <w:sz w:val="24"/>
          <w:szCs w:val="24"/>
        </w:rPr>
        <w:t xml:space="preserve">may </w:t>
      </w:r>
      <w:r w:rsidRPr="00CF50A9">
        <w:rPr>
          <w:sz w:val="24"/>
          <w:szCs w:val="24"/>
        </w:rPr>
        <w:t>exclude all of their S</w:t>
      </w:r>
      <w:r w:rsidR="00DF11C5" w:rsidRPr="00CF50A9">
        <w:rPr>
          <w:sz w:val="24"/>
          <w:szCs w:val="24"/>
        </w:rPr>
        <w:t xml:space="preserve">ocial </w:t>
      </w:r>
      <w:r w:rsidRPr="00CF50A9">
        <w:rPr>
          <w:sz w:val="24"/>
          <w:szCs w:val="24"/>
        </w:rPr>
        <w:t>S</w:t>
      </w:r>
      <w:r w:rsidR="00DF11C5" w:rsidRPr="00CF50A9">
        <w:rPr>
          <w:sz w:val="24"/>
          <w:szCs w:val="24"/>
        </w:rPr>
        <w:t>ecurity</w:t>
      </w:r>
      <w:r w:rsidRPr="00CF50A9">
        <w:rPr>
          <w:sz w:val="24"/>
          <w:szCs w:val="24"/>
        </w:rPr>
        <w:t xml:space="preserve"> earnings from gross income.  Middle</w:t>
      </w:r>
      <w:r w:rsidR="0002266F">
        <w:rPr>
          <w:sz w:val="24"/>
          <w:szCs w:val="24"/>
        </w:rPr>
        <w:t>-</w:t>
      </w:r>
      <w:r w:rsidRPr="00CF50A9">
        <w:rPr>
          <w:sz w:val="24"/>
          <w:szCs w:val="24"/>
        </w:rPr>
        <w:t xml:space="preserve"> and upper</w:t>
      </w:r>
      <w:r w:rsidR="0002266F">
        <w:rPr>
          <w:sz w:val="24"/>
          <w:szCs w:val="24"/>
        </w:rPr>
        <w:t>-</w:t>
      </w:r>
      <w:r w:rsidRPr="00CF50A9">
        <w:rPr>
          <w:sz w:val="24"/>
          <w:szCs w:val="24"/>
        </w:rPr>
        <w:t>income S</w:t>
      </w:r>
      <w:r w:rsidR="00DF11C5" w:rsidRPr="00CF50A9">
        <w:rPr>
          <w:sz w:val="24"/>
          <w:szCs w:val="24"/>
        </w:rPr>
        <w:t xml:space="preserve">ocial </w:t>
      </w:r>
      <w:r w:rsidRPr="00CF50A9">
        <w:rPr>
          <w:sz w:val="24"/>
          <w:szCs w:val="24"/>
        </w:rPr>
        <w:t>S</w:t>
      </w:r>
      <w:r w:rsidR="00DF11C5" w:rsidRPr="00CF50A9">
        <w:rPr>
          <w:sz w:val="24"/>
          <w:szCs w:val="24"/>
        </w:rPr>
        <w:t>ecurity</w:t>
      </w:r>
      <w:r w:rsidRPr="00CF50A9">
        <w:rPr>
          <w:sz w:val="24"/>
          <w:szCs w:val="24"/>
        </w:rPr>
        <w:t xml:space="preserve"> recipients may have </w:t>
      </w:r>
      <w:r w:rsidR="00DF11C5" w:rsidRPr="00CF50A9">
        <w:rPr>
          <w:sz w:val="24"/>
          <w:szCs w:val="24"/>
        </w:rPr>
        <w:t xml:space="preserve">to include </w:t>
      </w:r>
      <w:r w:rsidR="00DF11C5" w:rsidRPr="004E1A04">
        <w:rPr>
          <w:sz w:val="24"/>
          <w:szCs w:val="24"/>
        </w:rPr>
        <w:t>up to 85%</w:t>
      </w:r>
      <w:r w:rsidR="00DF11C5" w:rsidRPr="00CF50A9">
        <w:rPr>
          <w:sz w:val="24"/>
          <w:szCs w:val="24"/>
        </w:rPr>
        <w:t xml:space="preserve"> of their</w:t>
      </w:r>
      <w:r w:rsidRPr="00CF50A9">
        <w:rPr>
          <w:sz w:val="24"/>
          <w:szCs w:val="24"/>
        </w:rPr>
        <w:t xml:space="preserve"> benefits in taxable income.  </w:t>
      </w:r>
    </w:p>
    <w:p w14:paraId="57B52180" w14:textId="561EA019" w:rsidR="00A55A77" w:rsidRDefault="00A55A77" w:rsidP="004E1A04">
      <w:pPr>
        <w:pStyle w:val="ListParagraph"/>
        <w:numPr>
          <w:ilvl w:val="0"/>
          <w:numId w:val="40"/>
        </w:numPr>
        <w:ind w:right="360"/>
        <w:rPr>
          <w:sz w:val="24"/>
          <w:szCs w:val="24"/>
        </w:rPr>
      </w:pPr>
      <w:r w:rsidRPr="00CF50A9">
        <w:rPr>
          <w:sz w:val="24"/>
          <w:szCs w:val="24"/>
        </w:rPr>
        <w:t>The amount of benefits taxable is based on the taxpayer’s</w:t>
      </w:r>
      <w:r w:rsidR="0002266F">
        <w:rPr>
          <w:sz w:val="24"/>
          <w:szCs w:val="24"/>
        </w:rPr>
        <w:t xml:space="preserve"> m</w:t>
      </w:r>
      <w:r w:rsidRPr="00CF50A9">
        <w:rPr>
          <w:sz w:val="24"/>
          <w:szCs w:val="24"/>
        </w:rPr>
        <w:t xml:space="preserve">odified </w:t>
      </w:r>
      <w:r w:rsidR="0002266F">
        <w:rPr>
          <w:sz w:val="24"/>
          <w:szCs w:val="24"/>
        </w:rPr>
        <w:t>a</w:t>
      </w:r>
      <w:r w:rsidRPr="00CF50A9">
        <w:rPr>
          <w:sz w:val="24"/>
          <w:szCs w:val="24"/>
        </w:rPr>
        <w:t xml:space="preserve">djusted </w:t>
      </w:r>
      <w:r w:rsidR="0002266F">
        <w:rPr>
          <w:sz w:val="24"/>
          <w:szCs w:val="24"/>
        </w:rPr>
        <w:t>g</w:t>
      </w:r>
      <w:r w:rsidRPr="00CF50A9">
        <w:rPr>
          <w:sz w:val="24"/>
          <w:szCs w:val="24"/>
        </w:rPr>
        <w:t xml:space="preserve">ross </w:t>
      </w:r>
      <w:r w:rsidR="0002266F">
        <w:rPr>
          <w:sz w:val="24"/>
          <w:szCs w:val="24"/>
        </w:rPr>
        <w:t>i</w:t>
      </w:r>
      <w:r w:rsidRPr="00CF50A9">
        <w:rPr>
          <w:sz w:val="24"/>
          <w:szCs w:val="24"/>
        </w:rPr>
        <w:t>ncome</w:t>
      </w:r>
      <w:r w:rsidR="0002266F">
        <w:rPr>
          <w:sz w:val="24"/>
          <w:szCs w:val="24"/>
        </w:rPr>
        <w:t xml:space="preserve"> (MAGI</w:t>
      </w:r>
      <w:r w:rsidRPr="00CF50A9">
        <w:rPr>
          <w:sz w:val="24"/>
          <w:szCs w:val="24"/>
        </w:rPr>
        <w:t xml:space="preserve">).  </w:t>
      </w:r>
    </w:p>
    <w:p w14:paraId="5AD3021E" w14:textId="77777777" w:rsidR="002614D5" w:rsidRPr="002614D5" w:rsidRDefault="002614D5" w:rsidP="004E1A04">
      <w:pPr>
        <w:ind w:right="360"/>
        <w:jc w:val="both"/>
        <w:rPr>
          <w:sz w:val="24"/>
          <w:szCs w:val="24"/>
        </w:rPr>
      </w:pPr>
    </w:p>
    <w:p w14:paraId="0574385F" w14:textId="77777777" w:rsidR="0002266F" w:rsidRDefault="0002266F" w:rsidP="004E1A04">
      <w:pPr>
        <w:widowControl/>
        <w:overflowPunct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C0511D6" w14:textId="10E03C41" w:rsidR="002614D5" w:rsidRPr="004E1A04" w:rsidRDefault="00A55A77" w:rsidP="004E1A04">
      <w:pPr>
        <w:ind w:right="360"/>
        <w:outlineLvl w:val="0"/>
        <w:rPr>
          <w:b/>
          <w:bCs/>
          <w:sz w:val="24"/>
          <w:szCs w:val="24"/>
        </w:rPr>
      </w:pPr>
      <w:r w:rsidRPr="004E1A04">
        <w:rPr>
          <w:b/>
          <w:bCs/>
          <w:sz w:val="24"/>
          <w:szCs w:val="24"/>
        </w:rPr>
        <w:t>Base Amounts Table</w:t>
      </w:r>
    </w:p>
    <w:p w14:paraId="198A2FE3" w14:textId="77777777" w:rsidR="00A55A77" w:rsidRDefault="00A55A77" w:rsidP="004E1A04">
      <w:pPr>
        <w:ind w:left="720" w:right="360" w:firstLine="720"/>
        <w:jc w:val="both"/>
        <w:rPr>
          <w:rFonts w:ascii="Californian FB" w:hAnsi="Californian FB" w:cs="Californian FB"/>
          <w:b/>
          <w:bCs/>
          <w:sz w:val="24"/>
          <w:szCs w:val="24"/>
        </w:rPr>
      </w:pPr>
      <w:r>
        <w:rPr>
          <w:rFonts w:ascii="Californian FB" w:hAnsi="Californian FB" w:cs="Californian FB"/>
          <w:b/>
          <w:bCs/>
          <w:sz w:val="24"/>
          <w:szCs w:val="24"/>
        </w:rPr>
        <w:tab/>
      </w:r>
      <w:r>
        <w:rPr>
          <w:rFonts w:ascii="Californian FB" w:hAnsi="Californian FB" w:cs="Californian FB"/>
          <w:b/>
          <w:bCs/>
          <w:sz w:val="24"/>
          <w:szCs w:val="24"/>
        </w:rPr>
        <w:tab/>
        <w:t xml:space="preserve">  </w:t>
      </w:r>
    </w:p>
    <w:tbl>
      <w:tblPr>
        <w:tblW w:w="0" w:type="auto"/>
        <w:tblInd w:w="14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040"/>
        <w:gridCol w:w="5130"/>
      </w:tblGrid>
      <w:tr w:rsidR="00FF3994" w14:paraId="5625615A" w14:textId="77777777" w:rsidTr="004E1A04">
        <w:trPr>
          <w:trHeight w:val="288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55BD5BA" w14:textId="737E5D1B" w:rsidR="00FF3994" w:rsidRDefault="00FF3994" w:rsidP="004E1A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Base</w:t>
            </w:r>
            <w:r w:rsidR="0002266F">
              <w:rPr>
                <w:b/>
                <w:bCs/>
                <w:sz w:val="24"/>
                <w:szCs w:val="24"/>
              </w:rPr>
              <w:t xml:space="preserve"> Amounts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33E9A" w14:textId="6FF0B612" w:rsidR="00FF3994" w:rsidRDefault="00FF3994" w:rsidP="004E1A04">
            <w:pPr>
              <w:ind w:righ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Applies </w:t>
            </w:r>
            <w:r w:rsidR="0002266F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o</w:t>
            </w:r>
          </w:p>
        </w:tc>
      </w:tr>
      <w:tr w:rsidR="00FF3994" w14:paraId="76B374B8" w14:textId="77777777" w:rsidTr="004E1A04">
        <w:trPr>
          <w:trHeight w:val="383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3149781" w14:textId="77777777" w:rsidR="00FF3994" w:rsidRDefault="00FF3994" w:rsidP="004E1A04">
            <w:pPr>
              <w:tabs>
                <w:tab w:val="decimal" w:pos="1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$32,000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51996" w14:textId="77777777" w:rsidR="00FF3994" w:rsidRDefault="00FF3994" w:rsidP="004E1A04">
            <w:pPr>
              <w:ind w:righ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Married filing jointly</w:t>
            </w:r>
          </w:p>
        </w:tc>
      </w:tr>
      <w:tr w:rsidR="00FF3994" w14:paraId="02A09AD9" w14:textId="77777777" w:rsidTr="004E1A04">
        <w:trPr>
          <w:trHeight w:val="666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919FF7" w14:textId="0085CC53" w:rsidR="00FF3994" w:rsidRDefault="00FF3994" w:rsidP="004E1A04">
            <w:pPr>
              <w:tabs>
                <w:tab w:val="decimal" w:pos="1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2C0F0" w14:textId="77777777" w:rsidR="00FF3994" w:rsidRDefault="00FF3994" w:rsidP="004E1A04">
            <w:pPr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Married filing separately but did not live apart </w:t>
            </w:r>
            <w:r w:rsidR="007810A3">
              <w:rPr>
                <w:sz w:val="24"/>
                <w:szCs w:val="24"/>
              </w:rPr>
              <w:t xml:space="preserve">for the </w:t>
            </w:r>
            <w:r>
              <w:rPr>
                <w:sz w:val="24"/>
                <w:szCs w:val="24"/>
              </w:rPr>
              <w:t>entire year</w:t>
            </w:r>
          </w:p>
        </w:tc>
      </w:tr>
      <w:tr w:rsidR="00FF3994" w14:paraId="616FAA4D" w14:textId="77777777" w:rsidTr="004E1A04">
        <w:trPr>
          <w:trHeight w:val="383"/>
        </w:trPr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611A45" w14:textId="27FC4254" w:rsidR="00FF3994" w:rsidRDefault="00FF3994" w:rsidP="004E1A04">
            <w:pPr>
              <w:tabs>
                <w:tab w:val="decimal" w:pos="12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</w:tc>
        <w:tc>
          <w:tcPr>
            <w:tcW w:w="5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9C60D" w14:textId="77777777" w:rsidR="00FF3994" w:rsidRDefault="00FF3994" w:rsidP="004E1A04">
            <w:pPr>
              <w:ind w:righ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other taxpayers</w:t>
            </w:r>
          </w:p>
        </w:tc>
      </w:tr>
    </w:tbl>
    <w:p w14:paraId="64C569D4" w14:textId="77777777" w:rsidR="00F83F6E" w:rsidRDefault="00F83F6E" w:rsidP="004E1A04">
      <w:pPr>
        <w:keepNext/>
        <w:jc w:val="both"/>
        <w:rPr>
          <w:b/>
          <w:bCs/>
          <w:sz w:val="24"/>
          <w:szCs w:val="24"/>
          <w:u w:val="single"/>
        </w:rPr>
      </w:pPr>
    </w:p>
    <w:p w14:paraId="500D86B4" w14:textId="4D4CCEE7" w:rsidR="00F83F6E" w:rsidRDefault="00F83F6E" w:rsidP="004E1A04">
      <w:pPr>
        <w:keepNext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Learning Objective 2.17</w:t>
      </w:r>
      <w:r>
        <w:rPr>
          <w:b/>
          <w:bCs/>
          <w:sz w:val="24"/>
          <w:szCs w:val="24"/>
          <w:u w:val="single"/>
        </w:rPr>
        <w:tab/>
        <w:t>Community Property</w:t>
      </w:r>
    </w:p>
    <w:p w14:paraId="67C3F016" w14:textId="29B90717" w:rsidR="00FE37D3" w:rsidRPr="003B65D6" w:rsidRDefault="00EF4B08" w:rsidP="004E1A04">
      <w:pPr>
        <w:pStyle w:val="ListParagraph"/>
        <w:numPr>
          <w:ilvl w:val="0"/>
          <w:numId w:val="40"/>
        </w:numPr>
        <w:ind w:right="360"/>
        <w:rPr>
          <w:sz w:val="24"/>
          <w:szCs w:val="24"/>
        </w:rPr>
      </w:pPr>
      <w:r w:rsidRPr="003B65D6">
        <w:rPr>
          <w:sz w:val="24"/>
          <w:szCs w:val="24"/>
        </w:rPr>
        <w:t xml:space="preserve">State law governs how income derived from property held by </w:t>
      </w:r>
      <w:r w:rsidR="00024C55">
        <w:rPr>
          <w:sz w:val="24"/>
          <w:szCs w:val="24"/>
        </w:rPr>
        <w:t xml:space="preserve">a </w:t>
      </w:r>
      <w:r w:rsidRPr="003B65D6">
        <w:rPr>
          <w:sz w:val="24"/>
          <w:szCs w:val="24"/>
        </w:rPr>
        <w:t>married couple, either jointly or separately, is allocated between spouses</w:t>
      </w:r>
      <w:r w:rsidR="00024C55">
        <w:rPr>
          <w:sz w:val="24"/>
          <w:szCs w:val="24"/>
        </w:rPr>
        <w:t>.</w:t>
      </w:r>
    </w:p>
    <w:p w14:paraId="62DE7899" w14:textId="15E24EDA" w:rsidR="00FE37D3" w:rsidRPr="003B65D6" w:rsidRDefault="00EF4B08" w:rsidP="004E1A04">
      <w:pPr>
        <w:pStyle w:val="ListParagraph"/>
        <w:numPr>
          <w:ilvl w:val="0"/>
          <w:numId w:val="40"/>
        </w:numPr>
        <w:ind w:right="360"/>
        <w:rPr>
          <w:sz w:val="24"/>
          <w:szCs w:val="24"/>
        </w:rPr>
      </w:pPr>
      <w:r w:rsidRPr="003B65D6">
        <w:rPr>
          <w:sz w:val="24"/>
          <w:szCs w:val="24"/>
        </w:rPr>
        <w:t xml:space="preserve">Nine states practice </w:t>
      </w:r>
      <w:r w:rsidR="00024C55">
        <w:rPr>
          <w:sz w:val="24"/>
          <w:szCs w:val="24"/>
        </w:rPr>
        <w:t xml:space="preserve">a </w:t>
      </w:r>
      <w:r w:rsidRPr="003B65D6">
        <w:rPr>
          <w:sz w:val="24"/>
          <w:szCs w:val="24"/>
        </w:rPr>
        <w:t>community property system</w:t>
      </w:r>
      <w:r w:rsidR="00024C55">
        <w:rPr>
          <w:sz w:val="24"/>
          <w:szCs w:val="24"/>
        </w:rPr>
        <w:t>:</w:t>
      </w:r>
      <w:r w:rsidRPr="003B65D6">
        <w:rPr>
          <w:sz w:val="24"/>
          <w:szCs w:val="24"/>
        </w:rPr>
        <w:t xml:space="preserve"> </w:t>
      </w:r>
      <w:r w:rsidR="00024C55">
        <w:rPr>
          <w:sz w:val="24"/>
          <w:szCs w:val="24"/>
        </w:rPr>
        <w:t>A</w:t>
      </w:r>
      <w:r w:rsidRPr="003B65D6">
        <w:rPr>
          <w:sz w:val="24"/>
          <w:szCs w:val="24"/>
        </w:rPr>
        <w:t>ll property is deemed to be either separate property or community property</w:t>
      </w:r>
      <w:r w:rsidR="00024C55">
        <w:rPr>
          <w:sz w:val="24"/>
          <w:szCs w:val="24"/>
        </w:rPr>
        <w:t>.</w:t>
      </w:r>
      <w:r w:rsidRPr="003B65D6">
        <w:rPr>
          <w:sz w:val="24"/>
          <w:szCs w:val="24"/>
        </w:rPr>
        <w:t xml:space="preserve"> </w:t>
      </w:r>
    </w:p>
    <w:p w14:paraId="0BC5620C" w14:textId="650A9135" w:rsidR="00FE37D3" w:rsidRPr="003B65D6" w:rsidRDefault="00EF4B08" w:rsidP="004E1A04">
      <w:pPr>
        <w:pStyle w:val="ListParagraph"/>
        <w:numPr>
          <w:ilvl w:val="1"/>
          <w:numId w:val="40"/>
        </w:numPr>
        <w:ind w:right="360"/>
        <w:rPr>
          <w:sz w:val="24"/>
          <w:szCs w:val="24"/>
        </w:rPr>
      </w:pPr>
      <w:r w:rsidRPr="003B65D6">
        <w:rPr>
          <w:sz w:val="24"/>
          <w:szCs w:val="24"/>
        </w:rPr>
        <w:t xml:space="preserve">Separate property includes property acquired by </w:t>
      </w:r>
      <w:r w:rsidR="00024C55">
        <w:rPr>
          <w:sz w:val="24"/>
          <w:szCs w:val="24"/>
        </w:rPr>
        <w:t xml:space="preserve">a </w:t>
      </w:r>
      <w:r w:rsidRPr="003B65D6">
        <w:rPr>
          <w:sz w:val="24"/>
          <w:szCs w:val="24"/>
        </w:rPr>
        <w:t xml:space="preserve">spouse before marriage or received after marriage as </w:t>
      </w:r>
      <w:r w:rsidR="00024C55">
        <w:rPr>
          <w:sz w:val="24"/>
          <w:szCs w:val="24"/>
        </w:rPr>
        <w:t xml:space="preserve">a </w:t>
      </w:r>
      <w:r w:rsidRPr="003B65D6">
        <w:rPr>
          <w:sz w:val="24"/>
          <w:szCs w:val="24"/>
        </w:rPr>
        <w:t>gift or inheritance</w:t>
      </w:r>
      <w:r w:rsidR="00024C55">
        <w:rPr>
          <w:sz w:val="24"/>
          <w:szCs w:val="24"/>
        </w:rPr>
        <w:t>.</w:t>
      </w:r>
      <w:r w:rsidRPr="003B65D6">
        <w:rPr>
          <w:sz w:val="24"/>
          <w:szCs w:val="24"/>
        </w:rPr>
        <w:t xml:space="preserve"> </w:t>
      </w:r>
    </w:p>
    <w:p w14:paraId="2E4F1F62" w14:textId="25F7C532" w:rsidR="00FE37D3" w:rsidRPr="003B65D6" w:rsidRDefault="00EF4B08" w:rsidP="004E1A04">
      <w:pPr>
        <w:pStyle w:val="ListParagraph"/>
        <w:numPr>
          <w:ilvl w:val="1"/>
          <w:numId w:val="40"/>
        </w:numPr>
        <w:ind w:right="360"/>
        <w:rPr>
          <w:sz w:val="24"/>
          <w:szCs w:val="24"/>
        </w:rPr>
      </w:pPr>
      <w:r w:rsidRPr="003B65D6">
        <w:rPr>
          <w:sz w:val="24"/>
          <w:szCs w:val="24"/>
        </w:rPr>
        <w:t xml:space="preserve">All other property owned by a married couple </w:t>
      </w:r>
      <w:r w:rsidR="00720717">
        <w:rPr>
          <w:sz w:val="24"/>
          <w:szCs w:val="24"/>
        </w:rPr>
        <w:t xml:space="preserve">is </w:t>
      </w:r>
      <w:r w:rsidRPr="003B65D6">
        <w:rPr>
          <w:sz w:val="24"/>
          <w:szCs w:val="24"/>
        </w:rPr>
        <w:t>presumed to be community property</w:t>
      </w:r>
      <w:r w:rsidR="00720717">
        <w:rPr>
          <w:sz w:val="24"/>
          <w:szCs w:val="24"/>
        </w:rPr>
        <w:t>:</w:t>
      </w:r>
      <w:r w:rsidRPr="003B65D6">
        <w:rPr>
          <w:sz w:val="24"/>
          <w:szCs w:val="24"/>
        </w:rPr>
        <w:t xml:space="preserve"> </w:t>
      </w:r>
      <w:r w:rsidR="00720717">
        <w:rPr>
          <w:sz w:val="24"/>
          <w:szCs w:val="24"/>
        </w:rPr>
        <w:t>E</w:t>
      </w:r>
      <w:r w:rsidRPr="003B65D6">
        <w:rPr>
          <w:sz w:val="24"/>
          <w:szCs w:val="24"/>
        </w:rPr>
        <w:t>ach spouse is automatically taxed on half of the income from community property</w:t>
      </w:r>
      <w:r w:rsidR="00720717">
        <w:rPr>
          <w:sz w:val="24"/>
          <w:szCs w:val="24"/>
        </w:rPr>
        <w:t>.</w:t>
      </w:r>
    </w:p>
    <w:p w14:paraId="34FB509F" w14:textId="77777777" w:rsidR="00FE37D3" w:rsidRPr="003B65D6" w:rsidRDefault="00EF4B08" w:rsidP="004E1A04">
      <w:pPr>
        <w:pStyle w:val="ListParagraph"/>
        <w:numPr>
          <w:ilvl w:val="0"/>
          <w:numId w:val="40"/>
        </w:numPr>
        <w:ind w:right="360"/>
        <w:rPr>
          <w:sz w:val="24"/>
          <w:szCs w:val="24"/>
        </w:rPr>
      </w:pPr>
      <w:r w:rsidRPr="003B65D6">
        <w:rPr>
          <w:sz w:val="24"/>
          <w:szCs w:val="24"/>
        </w:rPr>
        <w:t xml:space="preserve">When married spouses residing in a community property state do not live together, the tax law contains an exception to the community property rules. </w:t>
      </w:r>
    </w:p>
    <w:p w14:paraId="2850BAAE" w14:textId="77777777" w:rsidR="00FE37D3" w:rsidRPr="003B65D6" w:rsidRDefault="00EF4B08" w:rsidP="004E1A04">
      <w:pPr>
        <w:pStyle w:val="ListParagraph"/>
        <w:numPr>
          <w:ilvl w:val="0"/>
          <w:numId w:val="40"/>
        </w:numPr>
        <w:ind w:right="360"/>
        <w:rPr>
          <w:sz w:val="24"/>
          <w:szCs w:val="24"/>
        </w:rPr>
      </w:pPr>
      <w:r w:rsidRPr="003B65D6">
        <w:rPr>
          <w:sz w:val="24"/>
          <w:szCs w:val="24"/>
        </w:rPr>
        <w:t>Under this special provision, a spouse will be taxed only on his or her actual earnings from personal services. For this provision to apply, the following conditions</w:t>
      </w:r>
      <w:r w:rsidRPr="00720717">
        <w:rPr>
          <w:sz w:val="24"/>
          <w:szCs w:val="24"/>
        </w:rPr>
        <w:t xml:space="preserve"> </w:t>
      </w:r>
      <w:r w:rsidRPr="004E1A04">
        <w:rPr>
          <w:bCs/>
          <w:sz w:val="24"/>
          <w:szCs w:val="24"/>
        </w:rPr>
        <w:t>must</w:t>
      </w:r>
      <w:r w:rsidRPr="003B65D6">
        <w:rPr>
          <w:sz w:val="24"/>
          <w:szCs w:val="24"/>
        </w:rPr>
        <w:t xml:space="preserve"> be satisfied: </w:t>
      </w:r>
    </w:p>
    <w:p w14:paraId="09F842E1" w14:textId="2D54CFA4" w:rsidR="004E7663" w:rsidRPr="004E1A04" w:rsidRDefault="003B65D6" w:rsidP="004E1A04">
      <w:pPr>
        <w:pStyle w:val="ListParagraph"/>
        <w:numPr>
          <w:ilvl w:val="0"/>
          <w:numId w:val="72"/>
        </w:numPr>
        <w:ind w:left="1440"/>
        <w:rPr>
          <w:sz w:val="24"/>
          <w:szCs w:val="24"/>
        </w:rPr>
      </w:pPr>
      <w:r w:rsidRPr="004E1A04">
        <w:rPr>
          <w:sz w:val="24"/>
          <w:szCs w:val="24"/>
        </w:rPr>
        <w:t>The individuals must live apart for the entire year,</w:t>
      </w:r>
    </w:p>
    <w:p w14:paraId="2D27B2AD" w14:textId="0A4983FD" w:rsidR="004E7663" w:rsidRPr="004E1A04" w:rsidRDefault="003B65D6" w:rsidP="004E1A04">
      <w:pPr>
        <w:pStyle w:val="ListParagraph"/>
        <w:numPr>
          <w:ilvl w:val="0"/>
          <w:numId w:val="72"/>
        </w:numPr>
        <w:ind w:left="1440"/>
        <w:rPr>
          <w:sz w:val="24"/>
          <w:szCs w:val="24"/>
        </w:rPr>
      </w:pPr>
      <w:r w:rsidRPr="004E1A04">
        <w:rPr>
          <w:sz w:val="24"/>
          <w:szCs w:val="24"/>
        </w:rPr>
        <w:t>They must not file a joint return</w:t>
      </w:r>
      <w:r w:rsidR="00720717">
        <w:rPr>
          <w:sz w:val="24"/>
          <w:szCs w:val="24"/>
        </w:rPr>
        <w:t>.</w:t>
      </w:r>
    </w:p>
    <w:p w14:paraId="3C1673A9" w14:textId="4159291C" w:rsidR="003B65D6" w:rsidRPr="004E1A04" w:rsidRDefault="003B65D6" w:rsidP="004E1A04">
      <w:pPr>
        <w:pStyle w:val="ListParagraph"/>
        <w:numPr>
          <w:ilvl w:val="0"/>
          <w:numId w:val="72"/>
        </w:numPr>
        <w:ind w:left="1440"/>
        <w:rPr>
          <w:sz w:val="24"/>
          <w:szCs w:val="24"/>
        </w:rPr>
      </w:pPr>
      <w:r w:rsidRPr="004E1A04">
        <w:rPr>
          <w:sz w:val="24"/>
          <w:szCs w:val="24"/>
        </w:rPr>
        <w:t xml:space="preserve">No portion of the earned income may be transferred between the spouses. </w:t>
      </w:r>
    </w:p>
    <w:p w14:paraId="5E27F758" w14:textId="28ABF432" w:rsidR="00F83F6E" w:rsidRDefault="00F83F6E" w:rsidP="004E1A04">
      <w:pPr>
        <w:pStyle w:val="ListParagraph"/>
        <w:ind w:right="360"/>
        <w:rPr>
          <w:sz w:val="24"/>
          <w:szCs w:val="24"/>
        </w:rPr>
      </w:pPr>
    </w:p>
    <w:sectPr w:rsidR="00F83F6E" w:rsidSect="00A55A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49656" w14:textId="77777777" w:rsidR="001237B2" w:rsidRDefault="001237B2">
      <w:r>
        <w:separator/>
      </w:r>
    </w:p>
  </w:endnote>
  <w:endnote w:type="continuationSeparator" w:id="0">
    <w:p w14:paraId="1FB58151" w14:textId="77777777" w:rsidR="001237B2" w:rsidRDefault="0012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0B8AA" w14:textId="31038506" w:rsidR="00525701" w:rsidRDefault="00525701" w:rsidP="005223CE">
    <w:pPr>
      <w:tabs>
        <w:tab w:val="center" w:pos="4320"/>
        <w:tab w:val="right" w:pos="8640"/>
      </w:tabs>
      <w:rPr>
        <w:kern w:val="0"/>
      </w:rPr>
    </w:pPr>
    <w:r w:rsidRPr="00D166DE">
      <w:rPr>
        <w:sz w:val="16"/>
        <w:szCs w:val="16"/>
      </w:rPr>
      <w:t>© 20</w:t>
    </w:r>
    <w:r>
      <w:rPr>
        <w:sz w:val="16"/>
        <w:szCs w:val="16"/>
      </w:rPr>
      <w:t>20</w:t>
    </w:r>
    <w:r w:rsidRPr="00D166DE">
      <w:rPr>
        <w:sz w:val="16"/>
        <w:szCs w:val="16"/>
      </w:rPr>
      <w:t xml:space="preserve"> Cengage Learning. All Rights Reserved. May not be copied, scanned, or duplicated, in whole or in part, except for use as permitted in a license distributed with a certain product or service or otherwise on a password-protected website for classroom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C48ED" w14:textId="77777777" w:rsidR="001237B2" w:rsidRDefault="001237B2">
      <w:r>
        <w:separator/>
      </w:r>
    </w:p>
  </w:footnote>
  <w:footnote w:type="continuationSeparator" w:id="0">
    <w:p w14:paraId="6497F174" w14:textId="77777777" w:rsidR="001237B2" w:rsidRDefault="0012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12DAB" w14:textId="77777777" w:rsidR="00525701" w:rsidRDefault="00525701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52CB"/>
    <w:multiLevelType w:val="hybridMultilevel"/>
    <w:tmpl w:val="19EA6850"/>
    <w:lvl w:ilvl="0" w:tplc="445E2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4D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08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07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EC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0F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65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AA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89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166BE9"/>
    <w:multiLevelType w:val="hybridMultilevel"/>
    <w:tmpl w:val="41C4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2736A"/>
    <w:multiLevelType w:val="singleLevel"/>
    <w:tmpl w:val="C03440A2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3" w15:restartNumberingAfterBreak="0">
    <w:nsid w:val="08025D63"/>
    <w:multiLevelType w:val="hybridMultilevel"/>
    <w:tmpl w:val="D714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F7A8B"/>
    <w:multiLevelType w:val="hybridMultilevel"/>
    <w:tmpl w:val="E58829FE"/>
    <w:lvl w:ilvl="0" w:tplc="786E8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8F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AF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43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E1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E5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A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E5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27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55554A"/>
    <w:multiLevelType w:val="hybridMultilevel"/>
    <w:tmpl w:val="9A96DB24"/>
    <w:lvl w:ilvl="0" w:tplc="916A1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F0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20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704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CB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2CB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22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E24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C0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F2C2F98"/>
    <w:multiLevelType w:val="hybridMultilevel"/>
    <w:tmpl w:val="773A8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E4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EC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6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41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8E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9E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CD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A4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06D5304"/>
    <w:multiLevelType w:val="hybridMultilevel"/>
    <w:tmpl w:val="1D107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801E8"/>
    <w:multiLevelType w:val="hybridMultilevel"/>
    <w:tmpl w:val="B8284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8EC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87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09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CF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C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48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88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2F740F2"/>
    <w:multiLevelType w:val="hybridMultilevel"/>
    <w:tmpl w:val="A60ED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771CC"/>
    <w:multiLevelType w:val="hybridMultilevel"/>
    <w:tmpl w:val="F246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23AFD"/>
    <w:multiLevelType w:val="hybridMultilevel"/>
    <w:tmpl w:val="80C821F8"/>
    <w:lvl w:ilvl="0" w:tplc="6F965F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CC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C8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60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68B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6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81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569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BC6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C08108C"/>
    <w:multiLevelType w:val="hybridMultilevel"/>
    <w:tmpl w:val="A8F8D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666C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8EC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87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09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CF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CC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48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88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D824321"/>
    <w:multiLevelType w:val="hybridMultilevel"/>
    <w:tmpl w:val="1F94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87DFE"/>
    <w:multiLevelType w:val="hybridMultilevel"/>
    <w:tmpl w:val="A8D2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10CF9"/>
    <w:multiLevelType w:val="hybridMultilevel"/>
    <w:tmpl w:val="A29CA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54D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08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07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EC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0F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65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AA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C89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44528E3"/>
    <w:multiLevelType w:val="hybridMultilevel"/>
    <w:tmpl w:val="F1B8D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9642F3"/>
    <w:multiLevelType w:val="hybridMultilevel"/>
    <w:tmpl w:val="ABA6A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4E48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489CEA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26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EC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0F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A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05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6250F1E"/>
    <w:multiLevelType w:val="hybridMultilevel"/>
    <w:tmpl w:val="657A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D0EBB"/>
    <w:multiLevelType w:val="hybridMultilevel"/>
    <w:tmpl w:val="1048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E29E8"/>
    <w:multiLevelType w:val="hybridMultilevel"/>
    <w:tmpl w:val="A3A2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BC5F6F"/>
    <w:multiLevelType w:val="hybridMultilevel"/>
    <w:tmpl w:val="017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2F28E1"/>
    <w:multiLevelType w:val="hybridMultilevel"/>
    <w:tmpl w:val="FE8A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25050"/>
    <w:multiLevelType w:val="hybridMultilevel"/>
    <w:tmpl w:val="911E9A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4EB5720"/>
    <w:multiLevelType w:val="hybridMultilevel"/>
    <w:tmpl w:val="6CBA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A0458"/>
    <w:multiLevelType w:val="hybridMultilevel"/>
    <w:tmpl w:val="A0D6B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4E48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47726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EC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00F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A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05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91A5F03"/>
    <w:multiLevelType w:val="hybridMultilevel"/>
    <w:tmpl w:val="0248D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CD6313"/>
    <w:multiLevelType w:val="hybridMultilevel"/>
    <w:tmpl w:val="D3DC1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79037B"/>
    <w:multiLevelType w:val="hybridMultilevel"/>
    <w:tmpl w:val="38102CAC"/>
    <w:lvl w:ilvl="0" w:tplc="2B129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14AD1"/>
    <w:multiLevelType w:val="hybridMultilevel"/>
    <w:tmpl w:val="E55E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655836"/>
    <w:multiLevelType w:val="hybridMultilevel"/>
    <w:tmpl w:val="1CF8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82174B"/>
    <w:multiLevelType w:val="hybridMultilevel"/>
    <w:tmpl w:val="0718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116C2"/>
    <w:multiLevelType w:val="hybridMultilevel"/>
    <w:tmpl w:val="8EB09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56006C"/>
    <w:multiLevelType w:val="singleLevel"/>
    <w:tmpl w:val="901CF6C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E1955D4"/>
    <w:multiLevelType w:val="hybridMultilevel"/>
    <w:tmpl w:val="FF367C48"/>
    <w:lvl w:ilvl="0" w:tplc="6F161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4A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47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AE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885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87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A9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01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A0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01C0F6A"/>
    <w:multiLevelType w:val="hybridMultilevel"/>
    <w:tmpl w:val="F3DAA526"/>
    <w:lvl w:ilvl="0" w:tplc="38383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28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2F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8AC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6C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8B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24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E0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A4300E7"/>
    <w:multiLevelType w:val="hybridMultilevel"/>
    <w:tmpl w:val="8F5E7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E6A75"/>
    <w:multiLevelType w:val="hybridMultilevel"/>
    <w:tmpl w:val="A2F2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30E78"/>
    <w:multiLevelType w:val="hybridMultilevel"/>
    <w:tmpl w:val="9D7AD772"/>
    <w:lvl w:ilvl="0" w:tplc="C29C6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86B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A2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62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26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0E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EB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EF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40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1204CCC"/>
    <w:multiLevelType w:val="hybridMultilevel"/>
    <w:tmpl w:val="EDB82F80"/>
    <w:lvl w:ilvl="0" w:tplc="98742F88">
      <w:start w:val="1"/>
      <w:numFmt w:val="decimal"/>
      <w:lvlText w:val="%1."/>
      <w:lvlJc w:val="left"/>
      <w:pPr>
        <w:ind w:left="1000" w:hanging="6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30144"/>
    <w:multiLevelType w:val="hybridMultilevel"/>
    <w:tmpl w:val="5D64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02A5D"/>
    <w:multiLevelType w:val="hybridMultilevel"/>
    <w:tmpl w:val="B9929D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4C069BC"/>
    <w:multiLevelType w:val="hybridMultilevel"/>
    <w:tmpl w:val="58867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8F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AF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43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4E1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E5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6EA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E5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27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6C31391"/>
    <w:multiLevelType w:val="singleLevel"/>
    <w:tmpl w:val="C03440A2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44" w15:restartNumberingAfterBreak="0">
    <w:nsid w:val="67C1379E"/>
    <w:multiLevelType w:val="hybridMultilevel"/>
    <w:tmpl w:val="D72A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9A941DA"/>
    <w:multiLevelType w:val="hybridMultilevel"/>
    <w:tmpl w:val="282463C2"/>
    <w:lvl w:ilvl="0" w:tplc="7E74B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26D1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60B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AC5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81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CE8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E0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AA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29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CF83B9D"/>
    <w:multiLevelType w:val="singleLevel"/>
    <w:tmpl w:val="C03440A2"/>
    <w:lvl w:ilvl="0">
      <w:start w:val="1"/>
      <w:numFmt w:val="decimal"/>
      <w:lvlText w:val="%1"/>
      <w:legacy w:legacy="1" w:legacySpace="0" w:legacyIndent="360"/>
      <w:lvlJc w:val="left"/>
      <w:rPr>
        <w:rFonts w:ascii="Symbol" w:hAnsi="Symbol" w:hint="default"/>
      </w:rPr>
    </w:lvl>
  </w:abstractNum>
  <w:abstractNum w:abstractNumId="47" w15:restartNumberingAfterBreak="0">
    <w:nsid w:val="6DC57BE7"/>
    <w:multiLevelType w:val="hybridMultilevel"/>
    <w:tmpl w:val="467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823C0F"/>
    <w:multiLevelType w:val="hybridMultilevel"/>
    <w:tmpl w:val="BACCC3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 w15:restartNumberingAfterBreak="0">
    <w:nsid w:val="775F55E5"/>
    <w:multiLevelType w:val="singleLevel"/>
    <w:tmpl w:val="096E14AE"/>
    <w:lvl w:ilvl="0">
      <w:start w:val="1"/>
      <w:numFmt w:val="upperLetter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78605430"/>
    <w:multiLevelType w:val="hybridMultilevel"/>
    <w:tmpl w:val="881C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A84799"/>
    <w:multiLevelType w:val="hybridMultilevel"/>
    <w:tmpl w:val="FF9CA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3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3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3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3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3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3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3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3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3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3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3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3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3"/>
    <w:lvlOverride w:ilvl="0">
      <w:lvl w:ilvl="0">
        <w:start w:val="1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9"/>
  </w:num>
  <w:num w:numId="17">
    <w:abstractNumId w:val="49"/>
    <w:lvlOverride w:ilvl="0">
      <w:lvl w:ilvl="0">
        <w:start w:val="2"/>
        <w:numFmt w:val="upperLetter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3"/>
  </w:num>
  <w:num w:numId="19">
    <w:abstractNumId w:val="4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46"/>
  </w:num>
  <w:num w:numId="21">
    <w:abstractNumId w:val="4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2"/>
  </w:num>
  <w:num w:numId="23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5">
    <w:abstractNumId w:val="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6">
    <w:abstractNumId w:val="19"/>
  </w:num>
  <w:num w:numId="27">
    <w:abstractNumId w:val="31"/>
  </w:num>
  <w:num w:numId="28">
    <w:abstractNumId w:val="37"/>
  </w:num>
  <w:num w:numId="29">
    <w:abstractNumId w:val="10"/>
  </w:num>
  <w:num w:numId="30">
    <w:abstractNumId w:val="20"/>
  </w:num>
  <w:num w:numId="31">
    <w:abstractNumId w:val="13"/>
  </w:num>
  <w:num w:numId="32">
    <w:abstractNumId w:val="1"/>
  </w:num>
  <w:num w:numId="33">
    <w:abstractNumId w:val="24"/>
  </w:num>
  <w:num w:numId="34">
    <w:abstractNumId w:val="14"/>
  </w:num>
  <w:num w:numId="35">
    <w:abstractNumId w:val="18"/>
  </w:num>
  <w:num w:numId="36">
    <w:abstractNumId w:val="21"/>
  </w:num>
  <w:num w:numId="37">
    <w:abstractNumId w:val="44"/>
  </w:num>
  <w:num w:numId="38">
    <w:abstractNumId w:val="29"/>
  </w:num>
  <w:num w:numId="39">
    <w:abstractNumId w:val="22"/>
  </w:num>
  <w:num w:numId="40">
    <w:abstractNumId w:val="30"/>
  </w:num>
  <w:num w:numId="41">
    <w:abstractNumId w:val="3"/>
  </w:num>
  <w:num w:numId="42">
    <w:abstractNumId w:val="50"/>
  </w:num>
  <w:num w:numId="43">
    <w:abstractNumId w:val="36"/>
  </w:num>
  <w:num w:numId="44">
    <w:abstractNumId w:val="48"/>
  </w:num>
  <w:num w:numId="45">
    <w:abstractNumId w:val="16"/>
  </w:num>
  <w:num w:numId="46">
    <w:abstractNumId w:val="26"/>
  </w:num>
  <w:num w:numId="47">
    <w:abstractNumId w:val="17"/>
  </w:num>
  <w:num w:numId="48">
    <w:abstractNumId w:val="34"/>
  </w:num>
  <w:num w:numId="49">
    <w:abstractNumId w:val="11"/>
  </w:num>
  <w:num w:numId="50">
    <w:abstractNumId w:val="5"/>
  </w:num>
  <w:num w:numId="51">
    <w:abstractNumId w:val="12"/>
  </w:num>
  <w:num w:numId="52">
    <w:abstractNumId w:val="6"/>
  </w:num>
  <w:num w:numId="53">
    <w:abstractNumId w:val="0"/>
  </w:num>
  <w:num w:numId="54">
    <w:abstractNumId w:val="45"/>
  </w:num>
  <w:num w:numId="55">
    <w:abstractNumId w:val="4"/>
  </w:num>
  <w:num w:numId="56">
    <w:abstractNumId w:val="38"/>
  </w:num>
  <w:num w:numId="57">
    <w:abstractNumId w:val="35"/>
  </w:num>
  <w:num w:numId="58">
    <w:abstractNumId w:val="51"/>
  </w:num>
  <w:num w:numId="59">
    <w:abstractNumId w:val="39"/>
  </w:num>
  <w:num w:numId="60">
    <w:abstractNumId w:val="32"/>
  </w:num>
  <w:num w:numId="61">
    <w:abstractNumId w:val="9"/>
  </w:num>
  <w:num w:numId="62">
    <w:abstractNumId w:val="28"/>
  </w:num>
  <w:num w:numId="63">
    <w:abstractNumId w:val="41"/>
  </w:num>
  <w:num w:numId="64">
    <w:abstractNumId w:val="8"/>
  </w:num>
  <w:num w:numId="65">
    <w:abstractNumId w:val="15"/>
  </w:num>
  <w:num w:numId="66">
    <w:abstractNumId w:val="42"/>
  </w:num>
  <w:num w:numId="67">
    <w:abstractNumId w:val="25"/>
  </w:num>
  <w:num w:numId="68">
    <w:abstractNumId w:val="23"/>
  </w:num>
  <w:num w:numId="69">
    <w:abstractNumId w:val="47"/>
  </w:num>
  <w:num w:numId="70">
    <w:abstractNumId w:val="40"/>
  </w:num>
  <w:num w:numId="71">
    <w:abstractNumId w:val="27"/>
  </w:num>
  <w:num w:numId="72">
    <w:abstractNumId w:val="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55A77"/>
    <w:rsid w:val="00006AFE"/>
    <w:rsid w:val="00011845"/>
    <w:rsid w:val="00016845"/>
    <w:rsid w:val="0002121E"/>
    <w:rsid w:val="0002266F"/>
    <w:rsid w:val="00023F5E"/>
    <w:rsid w:val="00024C55"/>
    <w:rsid w:val="000551A6"/>
    <w:rsid w:val="0005795E"/>
    <w:rsid w:val="00062A3B"/>
    <w:rsid w:val="0006633C"/>
    <w:rsid w:val="000A1ACD"/>
    <w:rsid w:val="000A76E0"/>
    <w:rsid w:val="000B4A48"/>
    <w:rsid w:val="000F5CFB"/>
    <w:rsid w:val="00122E8F"/>
    <w:rsid w:val="001237B2"/>
    <w:rsid w:val="00124B52"/>
    <w:rsid w:val="00155080"/>
    <w:rsid w:val="00161B30"/>
    <w:rsid w:val="00176B12"/>
    <w:rsid w:val="00191E2C"/>
    <w:rsid w:val="001A6614"/>
    <w:rsid w:val="001B2685"/>
    <w:rsid w:val="001D7E37"/>
    <w:rsid w:val="00203BEC"/>
    <w:rsid w:val="002050CC"/>
    <w:rsid w:val="0021240B"/>
    <w:rsid w:val="002221EA"/>
    <w:rsid w:val="00230426"/>
    <w:rsid w:val="00257241"/>
    <w:rsid w:val="002614D5"/>
    <w:rsid w:val="0028720D"/>
    <w:rsid w:val="002C182D"/>
    <w:rsid w:val="002C4D37"/>
    <w:rsid w:val="002F51DF"/>
    <w:rsid w:val="0030483B"/>
    <w:rsid w:val="00317791"/>
    <w:rsid w:val="00323D20"/>
    <w:rsid w:val="00325C50"/>
    <w:rsid w:val="00330270"/>
    <w:rsid w:val="00336684"/>
    <w:rsid w:val="00342B64"/>
    <w:rsid w:val="00380373"/>
    <w:rsid w:val="003A625E"/>
    <w:rsid w:val="003B4B32"/>
    <w:rsid w:val="003B65D6"/>
    <w:rsid w:val="003C4990"/>
    <w:rsid w:val="003E4007"/>
    <w:rsid w:val="003F2B0A"/>
    <w:rsid w:val="003F7085"/>
    <w:rsid w:val="00405A68"/>
    <w:rsid w:val="00411223"/>
    <w:rsid w:val="00451751"/>
    <w:rsid w:val="004548CF"/>
    <w:rsid w:val="0046173A"/>
    <w:rsid w:val="00470356"/>
    <w:rsid w:val="004842E4"/>
    <w:rsid w:val="004A5562"/>
    <w:rsid w:val="004E1A04"/>
    <w:rsid w:val="004E5632"/>
    <w:rsid w:val="004E6DC9"/>
    <w:rsid w:val="004E7663"/>
    <w:rsid w:val="004F109D"/>
    <w:rsid w:val="004F3E33"/>
    <w:rsid w:val="004F5C87"/>
    <w:rsid w:val="004F6139"/>
    <w:rsid w:val="004F6661"/>
    <w:rsid w:val="004F7039"/>
    <w:rsid w:val="00502D86"/>
    <w:rsid w:val="00506E82"/>
    <w:rsid w:val="005074F4"/>
    <w:rsid w:val="005223CE"/>
    <w:rsid w:val="00525701"/>
    <w:rsid w:val="00541227"/>
    <w:rsid w:val="00543991"/>
    <w:rsid w:val="005519C8"/>
    <w:rsid w:val="00551B01"/>
    <w:rsid w:val="00572925"/>
    <w:rsid w:val="005920AA"/>
    <w:rsid w:val="005B17EB"/>
    <w:rsid w:val="005D58C8"/>
    <w:rsid w:val="00606B65"/>
    <w:rsid w:val="00622880"/>
    <w:rsid w:val="00624C8A"/>
    <w:rsid w:val="0067269C"/>
    <w:rsid w:val="00674663"/>
    <w:rsid w:val="00685311"/>
    <w:rsid w:val="006C49EC"/>
    <w:rsid w:val="00703198"/>
    <w:rsid w:val="00720717"/>
    <w:rsid w:val="007619F0"/>
    <w:rsid w:val="0076229F"/>
    <w:rsid w:val="007704D6"/>
    <w:rsid w:val="007810A3"/>
    <w:rsid w:val="007B6115"/>
    <w:rsid w:val="007C206B"/>
    <w:rsid w:val="007C56D6"/>
    <w:rsid w:val="007D1D02"/>
    <w:rsid w:val="007D317F"/>
    <w:rsid w:val="007D5070"/>
    <w:rsid w:val="007E21B3"/>
    <w:rsid w:val="00812A5E"/>
    <w:rsid w:val="00852863"/>
    <w:rsid w:val="0085408B"/>
    <w:rsid w:val="008600B2"/>
    <w:rsid w:val="0086370D"/>
    <w:rsid w:val="00865EAE"/>
    <w:rsid w:val="00875C44"/>
    <w:rsid w:val="00884035"/>
    <w:rsid w:val="008E64A1"/>
    <w:rsid w:val="00900E46"/>
    <w:rsid w:val="00901293"/>
    <w:rsid w:val="00906912"/>
    <w:rsid w:val="0094774B"/>
    <w:rsid w:val="00950017"/>
    <w:rsid w:val="00954EA1"/>
    <w:rsid w:val="009865E4"/>
    <w:rsid w:val="009D1DFD"/>
    <w:rsid w:val="00A02878"/>
    <w:rsid w:val="00A05EB0"/>
    <w:rsid w:val="00A162B0"/>
    <w:rsid w:val="00A32AB4"/>
    <w:rsid w:val="00A43D1B"/>
    <w:rsid w:val="00A55A77"/>
    <w:rsid w:val="00A659AC"/>
    <w:rsid w:val="00A8201D"/>
    <w:rsid w:val="00AB0D49"/>
    <w:rsid w:val="00AB6E05"/>
    <w:rsid w:val="00AE3E98"/>
    <w:rsid w:val="00B02CB1"/>
    <w:rsid w:val="00B12954"/>
    <w:rsid w:val="00B14806"/>
    <w:rsid w:val="00B46E50"/>
    <w:rsid w:val="00B715E9"/>
    <w:rsid w:val="00B76B00"/>
    <w:rsid w:val="00BA1F18"/>
    <w:rsid w:val="00BD6478"/>
    <w:rsid w:val="00BF3EDB"/>
    <w:rsid w:val="00C02BC9"/>
    <w:rsid w:val="00C035B3"/>
    <w:rsid w:val="00C1263A"/>
    <w:rsid w:val="00C6255F"/>
    <w:rsid w:val="00C80075"/>
    <w:rsid w:val="00C9070C"/>
    <w:rsid w:val="00CB4CA0"/>
    <w:rsid w:val="00CB57B1"/>
    <w:rsid w:val="00CC7DC0"/>
    <w:rsid w:val="00CD6372"/>
    <w:rsid w:val="00CF372A"/>
    <w:rsid w:val="00CF50A9"/>
    <w:rsid w:val="00CF71EE"/>
    <w:rsid w:val="00D23591"/>
    <w:rsid w:val="00D82F92"/>
    <w:rsid w:val="00D85CB6"/>
    <w:rsid w:val="00DD218B"/>
    <w:rsid w:val="00DD37AE"/>
    <w:rsid w:val="00DD5ED0"/>
    <w:rsid w:val="00DE02D6"/>
    <w:rsid w:val="00DE1F73"/>
    <w:rsid w:val="00DE452E"/>
    <w:rsid w:val="00DF11C5"/>
    <w:rsid w:val="00DF4BBC"/>
    <w:rsid w:val="00DF5A58"/>
    <w:rsid w:val="00E03EC0"/>
    <w:rsid w:val="00E13724"/>
    <w:rsid w:val="00E243D5"/>
    <w:rsid w:val="00E25449"/>
    <w:rsid w:val="00E66EDB"/>
    <w:rsid w:val="00E83378"/>
    <w:rsid w:val="00E84BF7"/>
    <w:rsid w:val="00E94809"/>
    <w:rsid w:val="00EA6FEE"/>
    <w:rsid w:val="00ED303B"/>
    <w:rsid w:val="00EF4B08"/>
    <w:rsid w:val="00F315B3"/>
    <w:rsid w:val="00F510AE"/>
    <w:rsid w:val="00F574EA"/>
    <w:rsid w:val="00F578F6"/>
    <w:rsid w:val="00F76477"/>
    <w:rsid w:val="00F83F6E"/>
    <w:rsid w:val="00F9511B"/>
    <w:rsid w:val="00F96F7C"/>
    <w:rsid w:val="00F9701A"/>
    <w:rsid w:val="00FB504E"/>
    <w:rsid w:val="00FE37D3"/>
    <w:rsid w:val="00FF15CA"/>
    <w:rsid w:val="00FF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DA45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AC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70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356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rsid w:val="00572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22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23CE"/>
    <w:rPr>
      <w:kern w:val="28"/>
    </w:rPr>
  </w:style>
  <w:style w:type="paragraph" w:styleId="Footer">
    <w:name w:val="footer"/>
    <w:basedOn w:val="Normal"/>
    <w:link w:val="FooterChar"/>
    <w:unhideWhenUsed/>
    <w:rsid w:val="00522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23CE"/>
    <w:rPr>
      <w:kern w:val="28"/>
    </w:rPr>
  </w:style>
  <w:style w:type="paragraph" w:styleId="ListParagraph">
    <w:name w:val="List Paragraph"/>
    <w:basedOn w:val="Normal"/>
    <w:uiPriority w:val="34"/>
    <w:qFormat/>
    <w:rsid w:val="003F7085"/>
    <w:pPr>
      <w:ind w:left="720"/>
      <w:contextualSpacing/>
    </w:pPr>
  </w:style>
  <w:style w:type="paragraph" w:styleId="DocumentMap">
    <w:name w:val="Document Map"/>
    <w:basedOn w:val="Normal"/>
    <w:link w:val="DocumentMapChar"/>
    <w:semiHidden/>
    <w:unhideWhenUsed/>
    <w:rsid w:val="00F510AE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510AE"/>
    <w:rPr>
      <w:kern w:val="28"/>
      <w:sz w:val="24"/>
      <w:szCs w:val="24"/>
    </w:rPr>
  </w:style>
  <w:style w:type="paragraph" w:styleId="Revision">
    <w:name w:val="Revision"/>
    <w:hidden/>
    <w:uiPriority w:val="99"/>
    <w:semiHidden/>
    <w:rsid w:val="00F510AE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624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73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241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594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42897">
          <w:marLeft w:val="57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66">
          <w:marLeft w:val="144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4900">
          <w:marLeft w:val="201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234">
          <w:marLeft w:val="144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656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9254">
          <w:marLeft w:val="576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351">
          <w:marLeft w:val="576"/>
          <w:marRight w:val="0"/>
          <w:marTop w:val="7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197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1345">
          <w:marLeft w:val="129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717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56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4970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453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382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097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828">
          <w:marLeft w:val="57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87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948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886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006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1073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0973">
          <w:marLeft w:val="129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7F9C-4FAB-4D0B-BB25-FD2EA5E3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2415</Words>
  <Characters>13770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Two</vt:lpstr>
    </vt:vector>
  </TitlesOfParts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Two</dc:title>
  <dc:creator/>
  <cp:lastModifiedBy/>
  <cp:revision>1</cp:revision>
  <cp:lastPrinted>2013-10-13T17:36:00Z</cp:lastPrinted>
  <dcterms:created xsi:type="dcterms:W3CDTF">2020-05-07T15:47:00Z</dcterms:created>
  <dcterms:modified xsi:type="dcterms:W3CDTF">2020-05-07T15:47:00Z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1586123986</vt:i4>
  </property>
</Properties>
</file>