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F4D" w:rsidRDefault="007017D8">
      <w:pPr>
        <w:rPr>
          <w:rFonts w:asciiTheme="minorHAnsi" w:hAnsiTheme="minorHAnsi" w:cstheme="minorHAnsi"/>
        </w:rPr>
      </w:pPr>
      <w:bookmarkStart w:id="0" w:name="_GoBack"/>
      <w:bookmarkEnd w:id="0"/>
      <w:r w:rsidRPr="00947BF8">
        <w:rPr>
          <w:noProof/>
          <w:snapToGrid/>
          <w:sz w:val="18"/>
          <w:szCs w:val="18"/>
        </w:rPr>
        <w:drawing>
          <wp:inline distT="0" distB="0" distL="0" distR="0" wp14:anchorId="62109EBC" wp14:editId="32A674AE">
            <wp:extent cx="2294626" cy="793630"/>
            <wp:effectExtent l="0" t="0" r="0" b="6985"/>
            <wp:docPr id="1"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rsidR="007017D8" w:rsidRDefault="007017D8">
      <w:pPr>
        <w:rPr>
          <w:rFonts w:asciiTheme="minorHAnsi" w:hAnsiTheme="minorHAnsi" w:cstheme="minorHAnsi"/>
        </w:rPr>
      </w:pPr>
    </w:p>
    <w:p w:rsidR="003A6BEE" w:rsidRPr="00B229FE" w:rsidRDefault="003A6BEE" w:rsidP="003A6BEE">
      <w:pPr>
        <w:pStyle w:val="Heading1"/>
        <w:rPr>
          <w:color w:val="FF0000"/>
          <w:sz w:val="96"/>
          <w:szCs w:val="96"/>
        </w:rPr>
      </w:pPr>
      <w:r w:rsidRPr="003A6BEE">
        <w:t>TENTATIVE—SUBJECT TO CHANGE</w:t>
      </w:r>
      <w:r w:rsidR="00533F4C">
        <w:t>S</w:t>
      </w:r>
      <w:r w:rsidR="00B229FE">
        <w:t xml:space="preserve"> </w:t>
      </w:r>
    </w:p>
    <w:p w:rsidR="003A6BEE" w:rsidRDefault="003A6BEE" w:rsidP="007F67FB">
      <w:pPr>
        <w:jc w:val="center"/>
      </w:pPr>
    </w:p>
    <w:p w:rsidR="007F67FB" w:rsidRDefault="00E156FE" w:rsidP="00691641">
      <w:pPr>
        <w:pStyle w:val="Heading1"/>
      </w:pPr>
      <w:r>
        <w:t>FUNDAMENTALS OF COMMERCIAL TRUCK DRIVING</w:t>
      </w:r>
    </w:p>
    <w:p w:rsidR="007017D8" w:rsidRPr="00691641" w:rsidRDefault="00E156FE" w:rsidP="00691641">
      <w:pPr>
        <w:pStyle w:val="Heading1"/>
      </w:pPr>
      <w:r>
        <w:t xml:space="preserve"> </w:t>
      </w:r>
      <w:bookmarkStart w:id="1" w:name="_Hlk123642832"/>
      <w:r w:rsidRPr="00FE7367">
        <w:rPr>
          <w:shd w:val="clear" w:color="auto" w:fill="FFFFCC"/>
        </w:rPr>
        <w:t>CTDL 101</w:t>
      </w:r>
      <w:r w:rsidR="007F67FB" w:rsidRPr="00FE7367">
        <w:rPr>
          <w:shd w:val="clear" w:color="auto" w:fill="FFFFCC"/>
        </w:rPr>
        <w:t>0</w:t>
      </w:r>
      <w:bookmarkEnd w:id="1"/>
    </w:p>
    <w:p w:rsidR="007017D8" w:rsidRPr="00AA5198" w:rsidRDefault="007017D8" w:rsidP="0070293B">
      <w:pPr>
        <w:pStyle w:val="Heading1"/>
      </w:pPr>
      <w:r w:rsidRPr="00AA5198">
        <w:t>COURSE SYLLABUS</w:t>
      </w:r>
    </w:p>
    <w:p w:rsidR="007017D8" w:rsidRPr="00442538" w:rsidRDefault="00E71D21" w:rsidP="007017D8">
      <w:pPr>
        <w:jc w:val="center"/>
        <w:rPr>
          <w:rFonts w:asciiTheme="minorHAnsi" w:hAnsiTheme="minorHAnsi" w:cstheme="minorHAnsi"/>
          <w:color w:val="000000" w:themeColor="text1"/>
          <w:sz w:val="32"/>
          <w:szCs w:val="32"/>
        </w:rPr>
      </w:pPr>
      <w:r w:rsidRPr="00442538">
        <w:rPr>
          <w:rFonts w:asciiTheme="minorHAnsi" w:hAnsiTheme="minorHAnsi" w:cstheme="minorHAnsi"/>
          <w:b/>
          <w:color w:val="000000" w:themeColor="text1"/>
          <w:sz w:val="32"/>
          <w:szCs w:val="32"/>
        </w:rPr>
        <w:t>Spring</w:t>
      </w:r>
      <w:r w:rsidR="00662A90" w:rsidRPr="00442538">
        <w:rPr>
          <w:rFonts w:asciiTheme="minorHAnsi" w:hAnsiTheme="minorHAnsi" w:cstheme="minorHAnsi"/>
          <w:b/>
          <w:color w:val="000000" w:themeColor="text1"/>
          <w:sz w:val="32"/>
          <w:szCs w:val="32"/>
        </w:rPr>
        <w:t xml:space="preserve"> Semester 202</w:t>
      </w:r>
      <w:r w:rsidRPr="00442538">
        <w:rPr>
          <w:rFonts w:asciiTheme="minorHAnsi" w:hAnsiTheme="minorHAnsi" w:cstheme="minorHAnsi"/>
          <w:b/>
          <w:color w:val="000000" w:themeColor="text1"/>
          <w:sz w:val="32"/>
          <w:szCs w:val="32"/>
        </w:rPr>
        <w:t>3</w:t>
      </w:r>
      <w:r w:rsidR="005B1F38" w:rsidRPr="00442538">
        <w:rPr>
          <w:rFonts w:asciiTheme="minorHAnsi" w:hAnsiTheme="minorHAnsi" w:cstheme="minorHAnsi"/>
          <w:b/>
          <w:color w:val="000000" w:themeColor="text1"/>
          <w:sz w:val="32"/>
          <w:szCs w:val="32"/>
        </w:rPr>
        <w:t xml:space="preserve"> (202</w:t>
      </w:r>
      <w:r w:rsidR="003063CE" w:rsidRPr="00442538">
        <w:rPr>
          <w:rFonts w:asciiTheme="minorHAnsi" w:hAnsiTheme="minorHAnsi" w:cstheme="minorHAnsi"/>
          <w:b/>
          <w:color w:val="000000" w:themeColor="text1"/>
          <w:sz w:val="32"/>
          <w:szCs w:val="32"/>
        </w:rPr>
        <w:t>31</w:t>
      </w:r>
      <w:r w:rsidRPr="00442538">
        <w:rPr>
          <w:rFonts w:asciiTheme="minorHAnsi" w:hAnsiTheme="minorHAnsi" w:cstheme="minorHAnsi"/>
          <w:b/>
          <w:color w:val="000000" w:themeColor="text1"/>
          <w:sz w:val="32"/>
          <w:szCs w:val="32"/>
        </w:rPr>
        <w:t>4</w:t>
      </w:r>
      <w:r w:rsidR="002A72CA" w:rsidRPr="00442538">
        <w:rPr>
          <w:rFonts w:asciiTheme="minorHAnsi" w:hAnsiTheme="minorHAnsi" w:cstheme="minorHAnsi"/>
          <w:b/>
          <w:color w:val="000000" w:themeColor="text1"/>
          <w:sz w:val="32"/>
          <w:szCs w:val="32"/>
        </w:rPr>
        <w:t>)</w:t>
      </w:r>
    </w:p>
    <w:p w:rsidR="001807F9" w:rsidRDefault="001807F9" w:rsidP="00060872">
      <w:pPr>
        <w:pStyle w:val="Heading2"/>
      </w:pPr>
      <w:r>
        <w:t xml:space="preserve">Course </w:t>
      </w:r>
      <w:r w:rsidR="00F819B0">
        <w:t>information</w:t>
      </w:r>
    </w:p>
    <w:p w:rsidR="00FC1362" w:rsidRDefault="00FC1362">
      <w:pPr>
        <w:rPr>
          <w:rFonts w:cs="Arial"/>
        </w:rPr>
      </w:pPr>
      <w:r>
        <w:rPr>
          <w:rFonts w:cs="Arial"/>
        </w:rPr>
        <w:t>Credit Hours/Minutes</w:t>
      </w:r>
      <w:r w:rsidR="001807F9">
        <w:rPr>
          <w:rFonts w:cs="Arial"/>
        </w:rPr>
        <w:t>:</w:t>
      </w:r>
      <w:r w:rsidR="00FF4651">
        <w:rPr>
          <w:rFonts w:cs="Arial"/>
        </w:rPr>
        <w:t xml:space="preserve"> 3/2250</w:t>
      </w:r>
    </w:p>
    <w:p w:rsidR="00FC1362" w:rsidRDefault="00BA61AC">
      <w:pPr>
        <w:rPr>
          <w:rFonts w:cs="Arial"/>
        </w:rPr>
      </w:pPr>
      <w:r w:rsidRPr="00BC6B98">
        <w:rPr>
          <w:rFonts w:cs="Arial"/>
        </w:rPr>
        <w:t>Campus/</w:t>
      </w:r>
      <w:r w:rsidR="00FC1362">
        <w:rPr>
          <w:rFonts w:cs="Arial"/>
        </w:rPr>
        <w:t xml:space="preserve">Class </w:t>
      </w:r>
      <w:r w:rsidR="000A7728">
        <w:rPr>
          <w:rFonts w:cs="Arial"/>
        </w:rPr>
        <w:t>Location:</w:t>
      </w:r>
      <w:r w:rsidR="007F67FB">
        <w:rPr>
          <w:rFonts w:cs="Arial"/>
        </w:rPr>
        <w:t xml:space="preserve"> Vidalia</w:t>
      </w:r>
      <w:r w:rsidR="00170494">
        <w:rPr>
          <w:rFonts w:cs="Arial"/>
        </w:rPr>
        <w:t xml:space="preserve"> Campus/</w:t>
      </w:r>
      <w:r w:rsidR="009C2A88">
        <w:rPr>
          <w:rFonts w:cs="Arial"/>
        </w:rPr>
        <w:t>CTD Building</w:t>
      </w:r>
      <w:r w:rsidR="00DF1DAB">
        <w:rPr>
          <w:rFonts w:cs="Arial"/>
        </w:rPr>
        <w:t>; Swainsboro Campus / Building 2</w:t>
      </w:r>
    </w:p>
    <w:p w:rsidR="002A0636" w:rsidRDefault="000A7728" w:rsidP="002A0636">
      <w:pPr>
        <w:rPr>
          <w:rFonts w:cs="Arial"/>
        </w:rPr>
      </w:pPr>
      <w:r>
        <w:rPr>
          <w:rFonts w:cs="Arial"/>
        </w:rPr>
        <w:t>Class Meets:</w:t>
      </w:r>
      <w:r w:rsidR="004076E8">
        <w:rPr>
          <w:rFonts w:cs="Arial"/>
        </w:rPr>
        <w:t xml:space="preserve"> Day Students </w:t>
      </w:r>
      <w:r w:rsidR="004076E8" w:rsidRPr="00D14B2C">
        <w:rPr>
          <w:rFonts w:cs="Arial"/>
        </w:rPr>
        <w:t>8:00-4:00 MTWR; Evening Studen</w:t>
      </w:r>
      <w:r w:rsidR="001276FD" w:rsidRPr="00D14B2C">
        <w:rPr>
          <w:rFonts w:cs="Arial"/>
        </w:rPr>
        <w:t>ts 5:00-10:0</w:t>
      </w:r>
      <w:r w:rsidR="009D6749" w:rsidRPr="00D14B2C">
        <w:rPr>
          <w:rFonts w:cs="Arial"/>
        </w:rPr>
        <w:t>0 MTWR and 7:30-1:30</w:t>
      </w:r>
      <w:r w:rsidR="004076E8" w:rsidRPr="00D14B2C">
        <w:rPr>
          <w:rFonts w:cs="Arial"/>
        </w:rPr>
        <w:t xml:space="preserve"> S</w:t>
      </w:r>
      <w:r w:rsidR="004076E8">
        <w:rPr>
          <w:rFonts w:cs="Arial"/>
        </w:rPr>
        <w:t xml:space="preserve"> </w:t>
      </w:r>
      <w:r w:rsidR="00163E97">
        <w:rPr>
          <w:rFonts w:cs="Arial"/>
        </w:rPr>
        <w:t xml:space="preserve"> </w:t>
      </w:r>
    </w:p>
    <w:p w:rsidR="00FC1362" w:rsidRPr="0004129E" w:rsidRDefault="00FC1362">
      <w:pPr>
        <w:rPr>
          <w:rFonts w:cs="Arial"/>
          <w:color w:val="00B050"/>
        </w:rPr>
      </w:pPr>
      <w:r w:rsidRPr="00AA5198">
        <w:rPr>
          <w:rFonts w:cs="Arial"/>
        </w:rPr>
        <w:t>C</w:t>
      </w:r>
      <w:r w:rsidR="00E77B81" w:rsidRPr="00AA5198">
        <w:rPr>
          <w:rFonts w:cs="Arial"/>
        </w:rPr>
        <w:t xml:space="preserve">ourse </w:t>
      </w:r>
      <w:r w:rsidRPr="00AA5198">
        <w:rPr>
          <w:rFonts w:cs="Arial"/>
        </w:rPr>
        <w:t>R</w:t>
      </w:r>
      <w:r w:rsidR="00E77B81" w:rsidRPr="00AA5198">
        <w:rPr>
          <w:rFonts w:cs="Arial"/>
        </w:rPr>
        <w:t xml:space="preserve">eference </w:t>
      </w:r>
      <w:r w:rsidRPr="00AA5198">
        <w:rPr>
          <w:rFonts w:cs="Arial"/>
        </w:rPr>
        <w:t>N</w:t>
      </w:r>
      <w:r w:rsidR="00E77B81" w:rsidRPr="00AA5198">
        <w:rPr>
          <w:rFonts w:cs="Arial"/>
        </w:rPr>
        <w:t>umber (CRN)</w:t>
      </w:r>
      <w:r w:rsidRPr="00AA5198">
        <w:rPr>
          <w:rFonts w:cs="Arial"/>
        </w:rPr>
        <w:t>:</w:t>
      </w:r>
      <w:r w:rsidR="005B1F38">
        <w:rPr>
          <w:rFonts w:cs="Arial"/>
        </w:rPr>
        <w:t xml:space="preserve"> </w:t>
      </w:r>
      <w:r w:rsidR="00761080" w:rsidRPr="00442538">
        <w:rPr>
          <w:rFonts w:cs="Arial"/>
          <w:color w:val="000000" w:themeColor="text1"/>
        </w:rPr>
        <w:t xml:space="preserve">Term A – </w:t>
      </w:r>
      <w:r w:rsidR="00E71D21" w:rsidRPr="00442538">
        <w:rPr>
          <w:rFonts w:cs="Arial"/>
          <w:color w:val="000000" w:themeColor="text1"/>
        </w:rPr>
        <w:t>40062, 40068, 40056</w:t>
      </w:r>
      <w:r w:rsidR="00761080" w:rsidRPr="00442538">
        <w:rPr>
          <w:rFonts w:cs="Arial"/>
          <w:color w:val="000000" w:themeColor="text1"/>
        </w:rPr>
        <w:t>; Term B –</w:t>
      </w:r>
      <w:r w:rsidR="00E71D21" w:rsidRPr="00442538">
        <w:rPr>
          <w:rFonts w:cs="Arial"/>
          <w:color w:val="000000" w:themeColor="text1"/>
        </w:rPr>
        <w:t xml:space="preserve"> 40065, 40071, 40059</w:t>
      </w:r>
    </w:p>
    <w:p w:rsidR="00FC1362" w:rsidRDefault="00F819B0" w:rsidP="00060872">
      <w:pPr>
        <w:pStyle w:val="Heading2"/>
      </w:pPr>
      <w:r>
        <w:t>Instructor contact information</w:t>
      </w:r>
    </w:p>
    <w:p w:rsidR="00BA61AC" w:rsidRDefault="00AA1BB4" w:rsidP="00BA61AC">
      <w:pPr>
        <w:rPr>
          <w:rFonts w:cs="Arial"/>
        </w:rPr>
      </w:pPr>
      <w:r>
        <w:rPr>
          <w:rFonts w:cs="Arial"/>
        </w:rPr>
        <w:t>Instructor: Dennis Davis</w:t>
      </w:r>
      <w:r w:rsidR="002A0636">
        <w:rPr>
          <w:rFonts w:cs="Arial"/>
        </w:rPr>
        <w:t xml:space="preserve"> (Vidalia)</w:t>
      </w:r>
      <w:r w:rsidR="00272DF5">
        <w:rPr>
          <w:rFonts w:cs="Arial"/>
        </w:rPr>
        <w:t xml:space="preserve">, </w:t>
      </w:r>
      <w:r w:rsidR="002A0636">
        <w:rPr>
          <w:rFonts w:cs="Arial"/>
        </w:rPr>
        <w:t>Michael Spiv</w:t>
      </w:r>
      <w:r w:rsidR="00F5104A">
        <w:rPr>
          <w:rFonts w:cs="Arial"/>
        </w:rPr>
        <w:t xml:space="preserve">ey </w:t>
      </w:r>
      <w:r w:rsidR="002A0636">
        <w:rPr>
          <w:rFonts w:cs="Arial"/>
        </w:rPr>
        <w:t xml:space="preserve">(Vidalia), </w:t>
      </w:r>
      <w:r w:rsidR="00272DF5">
        <w:rPr>
          <w:rFonts w:cs="Arial"/>
        </w:rPr>
        <w:t>Ronnie Holton</w:t>
      </w:r>
      <w:r w:rsidR="002A0636">
        <w:rPr>
          <w:rFonts w:cs="Arial"/>
        </w:rPr>
        <w:t xml:space="preserve"> (Swainsboro)</w:t>
      </w:r>
    </w:p>
    <w:p w:rsidR="00FC638B" w:rsidRDefault="00FC638B" w:rsidP="00FC638B">
      <w:pPr>
        <w:rPr>
          <w:rFonts w:cs="Arial"/>
        </w:rPr>
      </w:pPr>
      <w:r>
        <w:rPr>
          <w:rFonts w:cs="Arial"/>
        </w:rPr>
        <w:t>Email Address</w:t>
      </w:r>
      <w:r w:rsidR="00E71D21">
        <w:rPr>
          <w:rFonts w:cs="Arial"/>
        </w:rPr>
        <w:t xml:space="preserve">, </w:t>
      </w:r>
      <w:r w:rsidR="00E71D21" w:rsidRPr="00442538">
        <w:rPr>
          <w:rFonts w:cs="Arial"/>
          <w:color w:val="000000" w:themeColor="text1"/>
        </w:rPr>
        <w:t>Director</w:t>
      </w:r>
      <w:r w:rsidRPr="00442538">
        <w:rPr>
          <w:rFonts w:cs="Arial"/>
          <w:color w:val="000000" w:themeColor="text1"/>
        </w:rPr>
        <w:t xml:space="preserve">:  </w:t>
      </w:r>
      <w:hyperlink r:id="rId8" w:history="1">
        <w:r w:rsidR="00AA1BB4" w:rsidRPr="00713E14">
          <w:rPr>
            <w:rStyle w:val="Hyperlink"/>
            <w:rFonts w:cs="Arial"/>
          </w:rPr>
          <w:t>Dennis Davis</w:t>
        </w:r>
      </w:hyperlink>
      <w:r w:rsidR="00AA1BB4">
        <w:rPr>
          <w:rFonts w:cs="Arial"/>
        </w:rPr>
        <w:t xml:space="preserve"> (</w:t>
      </w:r>
      <w:r w:rsidR="00713E14">
        <w:rPr>
          <w:rFonts w:cs="Arial"/>
        </w:rPr>
        <w:t xml:space="preserve"> </w:t>
      </w:r>
      <w:hyperlink r:id="rId9" w:tooltip="Email address for Dennis Davis" w:history="1">
        <w:r w:rsidR="00AA1BB4" w:rsidRPr="00D759B2">
          <w:rPr>
            <w:rStyle w:val="Hyperlink"/>
            <w:rFonts w:cs="Arial"/>
          </w:rPr>
          <w:t>ddavis@southeasterntech.edu</w:t>
        </w:r>
      </w:hyperlink>
      <w:r w:rsidR="00AA1BB4">
        <w:rPr>
          <w:rFonts w:cs="Arial"/>
        </w:rPr>
        <w:t xml:space="preserve"> )</w:t>
      </w:r>
    </w:p>
    <w:p w:rsidR="00713E14" w:rsidRDefault="00713E14" w:rsidP="00713E14">
      <w:pPr>
        <w:rPr>
          <w:rFonts w:cs="Arial"/>
        </w:rPr>
      </w:pPr>
      <w:r>
        <w:rPr>
          <w:rFonts w:cs="Arial"/>
        </w:rPr>
        <w:t xml:space="preserve">Administrative Assistant: </w:t>
      </w:r>
      <w:hyperlink r:id="rId10" w:history="1">
        <w:r w:rsidRPr="00713E14">
          <w:rPr>
            <w:rStyle w:val="Hyperlink"/>
            <w:rFonts w:cs="Arial"/>
          </w:rPr>
          <w:t>Ricky Strange</w:t>
        </w:r>
      </w:hyperlink>
      <w:r>
        <w:rPr>
          <w:rFonts w:cs="Arial"/>
        </w:rPr>
        <w:t xml:space="preserve"> (</w:t>
      </w:r>
      <w:hyperlink r:id="rId11" w:tooltip="Email address for Ricky Strange" w:history="1">
        <w:r w:rsidRPr="00D759B2">
          <w:rPr>
            <w:rStyle w:val="Hyperlink"/>
            <w:rFonts w:cs="Arial"/>
          </w:rPr>
          <w:t>rstrange@southeasterntech.edu</w:t>
        </w:r>
      </w:hyperlink>
      <w:r>
        <w:rPr>
          <w:rFonts w:cs="Arial"/>
        </w:rPr>
        <w:t xml:space="preserve"> )</w:t>
      </w:r>
    </w:p>
    <w:p w:rsidR="00E71D21" w:rsidRDefault="00E71D21" w:rsidP="00BA61AC">
      <w:pPr>
        <w:rPr>
          <w:rFonts w:cs="Arial"/>
        </w:rPr>
      </w:pPr>
      <w:r w:rsidRPr="00442538">
        <w:rPr>
          <w:rFonts w:cs="Arial"/>
          <w:color w:val="000000" w:themeColor="text1"/>
        </w:rPr>
        <w:t xml:space="preserve">Email Address, Swainsboro Instructor: </w:t>
      </w:r>
      <w:hyperlink r:id="rId12" w:history="1">
        <w:r w:rsidRPr="00E71D21">
          <w:rPr>
            <w:rStyle w:val="Hyperlink"/>
            <w:rFonts w:cs="Arial"/>
          </w:rPr>
          <w:t>Ronnie Holton</w:t>
        </w:r>
      </w:hyperlink>
      <w:r>
        <w:rPr>
          <w:rFonts w:cs="Arial"/>
        </w:rPr>
        <w:t xml:space="preserve"> (</w:t>
      </w:r>
      <w:hyperlink r:id="rId13" w:tooltip="Email Address for Ronnie Holton" w:history="1">
        <w:r w:rsidRPr="009310AD">
          <w:rPr>
            <w:rStyle w:val="Hyperlink"/>
            <w:rFonts w:cs="Arial"/>
          </w:rPr>
          <w:t>rholton@southeasterntech.edu</w:t>
        </w:r>
      </w:hyperlink>
      <w:r>
        <w:rPr>
          <w:rFonts w:cs="Arial"/>
        </w:rPr>
        <w:t xml:space="preserve"> )</w:t>
      </w:r>
    </w:p>
    <w:p w:rsidR="00163E97" w:rsidRPr="00AA5198" w:rsidRDefault="002A0636" w:rsidP="00BA61AC">
      <w:pPr>
        <w:rPr>
          <w:rFonts w:cs="Arial"/>
        </w:rPr>
      </w:pPr>
      <w:r>
        <w:rPr>
          <w:rFonts w:cs="Arial"/>
        </w:rPr>
        <w:t xml:space="preserve">Vidalia </w:t>
      </w:r>
      <w:r w:rsidR="00FC638B">
        <w:rPr>
          <w:rFonts w:cs="Arial"/>
        </w:rPr>
        <w:t>Campus/</w:t>
      </w:r>
      <w:r w:rsidR="00163E97">
        <w:rPr>
          <w:rFonts w:cs="Arial"/>
        </w:rPr>
        <w:t>Office Locatio</w:t>
      </w:r>
      <w:r w:rsidR="00163E97" w:rsidRPr="00AA5198">
        <w:rPr>
          <w:rFonts w:cs="Arial"/>
        </w:rPr>
        <w:t>n: CTD Building</w:t>
      </w:r>
      <w:r w:rsidR="00ED4073" w:rsidRPr="00AA5198">
        <w:rPr>
          <w:rFonts w:cs="Arial"/>
        </w:rPr>
        <w:t>,</w:t>
      </w:r>
      <w:r w:rsidR="00163E97" w:rsidRPr="00AA5198">
        <w:rPr>
          <w:rFonts w:cs="Arial"/>
        </w:rPr>
        <w:t xml:space="preserve"> </w:t>
      </w:r>
      <w:r w:rsidR="00ED4073" w:rsidRPr="00AA5198">
        <w:rPr>
          <w:rFonts w:cs="Arial"/>
        </w:rPr>
        <w:t xml:space="preserve">1400 </w:t>
      </w:r>
      <w:r w:rsidR="00163E97" w:rsidRPr="00AA5198">
        <w:rPr>
          <w:rFonts w:cs="Arial"/>
        </w:rPr>
        <w:t>Harris Ind. Blvd.</w:t>
      </w:r>
      <w:r w:rsidR="00761080">
        <w:rPr>
          <w:rFonts w:cs="Arial"/>
        </w:rPr>
        <w:t xml:space="preserve"> </w:t>
      </w:r>
    </w:p>
    <w:p w:rsidR="002A0636" w:rsidRPr="00AA5198" w:rsidRDefault="002A0636" w:rsidP="00BA61AC">
      <w:pPr>
        <w:rPr>
          <w:rFonts w:cs="Arial"/>
        </w:rPr>
      </w:pPr>
      <w:r w:rsidRPr="00AA5198">
        <w:rPr>
          <w:rFonts w:cs="Arial"/>
        </w:rPr>
        <w:t xml:space="preserve">Swainsboro Campus/Office Location:  Building 2 Room 2140 </w:t>
      </w:r>
    </w:p>
    <w:p w:rsidR="00163E97" w:rsidRPr="00AA5198" w:rsidRDefault="00163E97" w:rsidP="00BA61AC">
      <w:pPr>
        <w:rPr>
          <w:rFonts w:cs="Arial"/>
        </w:rPr>
      </w:pPr>
      <w:r w:rsidRPr="00AA5198">
        <w:rPr>
          <w:rFonts w:cs="Arial"/>
        </w:rPr>
        <w:t>Office Hours:</w:t>
      </w:r>
      <w:r w:rsidR="00FF4651" w:rsidRPr="00AA5198">
        <w:rPr>
          <w:rFonts w:cs="Arial"/>
        </w:rPr>
        <w:t xml:space="preserve"> </w:t>
      </w:r>
      <w:r w:rsidR="002A0636" w:rsidRPr="00AA5198">
        <w:rPr>
          <w:rFonts w:cs="Arial"/>
        </w:rPr>
        <w:t xml:space="preserve">Monday-Thursday 8:00 a.m. – 4:00 p.m. </w:t>
      </w:r>
    </w:p>
    <w:p w:rsidR="00163E97" w:rsidRDefault="00163E97" w:rsidP="00BA61AC">
      <w:pPr>
        <w:rPr>
          <w:rFonts w:cs="Arial"/>
        </w:rPr>
      </w:pPr>
      <w:r w:rsidRPr="00AA5198">
        <w:rPr>
          <w:rFonts w:cs="Arial"/>
        </w:rPr>
        <w:t xml:space="preserve">Phone </w:t>
      </w:r>
      <w:r w:rsidR="007550CF">
        <w:rPr>
          <w:rFonts w:cs="Arial"/>
        </w:rPr>
        <w:t>Number Vidalia</w:t>
      </w:r>
      <w:r w:rsidRPr="00AA5198">
        <w:rPr>
          <w:rFonts w:cs="Arial"/>
        </w:rPr>
        <w:t>:</w:t>
      </w:r>
      <w:bookmarkStart w:id="2" w:name="_Hlk110512802"/>
      <w:r w:rsidR="00C25A85" w:rsidRPr="005C1DCC">
        <w:rPr>
          <w:rFonts w:cs="Arial"/>
        </w:rPr>
        <w:t xml:space="preserve"> </w:t>
      </w:r>
      <w:r w:rsidR="007550CF">
        <w:rPr>
          <w:rFonts w:cs="Arial"/>
        </w:rPr>
        <w:t xml:space="preserve">Dennis Davis </w:t>
      </w:r>
      <w:r w:rsidR="00C25A85" w:rsidRPr="005C1DCC">
        <w:rPr>
          <w:rFonts w:cs="Arial"/>
        </w:rPr>
        <w:t>1-912-53</w:t>
      </w:r>
      <w:r w:rsidR="00761080">
        <w:rPr>
          <w:rFonts w:cs="Arial"/>
        </w:rPr>
        <w:t>8-3138</w:t>
      </w:r>
      <w:r w:rsidR="00AA1BB4" w:rsidRPr="005C1DCC">
        <w:rPr>
          <w:rFonts w:cs="Arial"/>
        </w:rPr>
        <w:t xml:space="preserve"> </w:t>
      </w:r>
      <w:bookmarkEnd w:id="2"/>
      <w:r w:rsidR="00AA1BB4" w:rsidRPr="005C1DCC">
        <w:rPr>
          <w:rFonts w:cs="Arial"/>
        </w:rPr>
        <w:t xml:space="preserve">/ </w:t>
      </w:r>
      <w:r w:rsidR="007550CF">
        <w:rPr>
          <w:rFonts w:cs="Arial"/>
        </w:rPr>
        <w:t xml:space="preserve">Ricky Strange </w:t>
      </w:r>
      <w:r w:rsidR="004324DA" w:rsidRPr="005C1DCC">
        <w:rPr>
          <w:rFonts w:cs="Arial"/>
        </w:rPr>
        <w:t>1-912-5</w:t>
      </w:r>
      <w:r w:rsidR="00761080">
        <w:rPr>
          <w:rFonts w:cs="Arial"/>
        </w:rPr>
        <w:t>38-3</w:t>
      </w:r>
      <w:r w:rsidR="00E04CD6">
        <w:rPr>
          <w:rFonts w:cs="Arial"/>
        </w:rPr>
        <w:t>1</w:t>
      </w:r>
      <w:r w:rsidR="00761080">
        <w:rPr>
          <w:rFonts w:cs="Arial"/>
        </w:rPr>
        <w:t>40</w:t>
      </w:r>
      <w:r w:rsidR="007550CF">
        <w:rPr>
          <w:rFonts w:cs="Arial"/>
        </w:rPr>
        <w:t xml:space="preserve"> </w:t>
      </w:r>
      <w:r w:rsidR="00761080">
        <w:rPr>
          <w:rFonts w:cs="Arial"/>
        </w:rPr>
        <w:t xml:space="preserve"> </w:t>
      </w:r>
    </w:p>
    <w:p w:rsidR="007550CF" w:rsidRDefault="007550CF" w:rsidP="00BA61AC">
      <w:pPr>
        <w:rPr>
          <w:rFonts w:cs="Arial"/>
        </w:rPr>
      </w:pPr>
      <w:r>
        <w:rPr>
          <w:rFonts w:cs="Arial"/>
        </w:rPr>
        <w:t>Phone Number Swainsboro: Ronnie Holton 1-478-289-2233</w:t>
      </w:r>
    </w:p>
    <w:p w:rsidR="00B466B1" w:rsidRPr="00AA5198" w:rsidRDefault="00B466B1" w:rsidP="00BA61AC">
      <w:pPr>
        <w:rPr>
          <w:rFonts w:cs="Arial"/>
        </w:rPr>
      </w:pPr>
      <w:r w:rsidRPr="00AA5198">
        <w:rPr>
          <w:rFonts w:cs="Arial"/>
        </w:rPr>
        <w:t>Fax Number: 912-538-3156</w:t>
      </w:r>
    </w:p>
    <w:p w:rsidR="00950EF8" w:rsidRDefault="00672EF9" w:rsidP="00060872">
      <w:pPr>
        <w:pStyle w:val="Heading2"/>
      </w:pPr>
      <w:r>
        <w:t>Southeastern technical college’s (STC)</w:t>
      </w:r>
      <w:r w:rsidR="00950EF8">
        <w:t xml:space="preserve"> Catalog and Handbook</w:t>
      </w:r>
    </w:p>
    <w:p w:rsidR="007550CF" w:rsidRDefault="007550CF" w:rsidP="007550CF">
      <w:r>
        <w:t>Students</w:t>
      </w:r>
      <w:r w:rsidRPr="00434884">
        <w:t xml:space="preserve"> are responsible for all policies</w:t>
      </w:r>
      <w:r>
        <w:t xml:space="preserve"> and</w:t>
      </w:r>
      <w:r w:rsidRPr="00434884">
        <w:t xml:space="preserve"> procedures and all other information included in </w:t>
      </w:r>
      <w:r>
        <w:t>Southeastern Technical College’s</w:t>
      </w:r>
      <w:r w:rsidRPr="00434884">
        <w:t xml:space="preserve"> </w:t>
      </w:r>
      <w:hyperlink r:id="rId14" w:tooltip="https://catalog.southeasterntech.edu/" w:history="1">
        <w:r>
          <w:rPr>
            <w:rStyle w:val="Hyperlink"/>
          </w:rPr>
          <w:t>Catalog and Handbook</w:t>
        </w:r>
      </w:hyperlink>
      <w:r w:rsidRPr="00434884">
        <w:t xml:space="preserve"> </w:t>
      </w:r>
      <w:r>
        <w:t>(</w:t>
      </w:r>
      <w:hyperlink r:id="rId15" w:tooltip="STC Catalog and Handbook" w:history="1">
        <w:r>
          <w:rPr>
            <w:rStyle w:val="Hyperlink"/>
          </w:rPr>
          <w:t>https://catalog.southeasterntech.edu/</w:t>
        </w:r>
      </w:hyperlink>
      <w:r>
        <w:t xml:space="preserve">). </w:t>
      </w:r>
    </w:p>
    <w:p w:rsidR="00412DAD" w:rsidRDefault="00412DAD" w:rsidP="00060872">
      <w:pPr>
        <w:pStyle w:val="Heading2"/>
      </w:pPr>
      <w:r>
        <w:t>Disclaimer</w:t>
      </w:r>
      <w:r w:rsidR="0004129E">
        <w:t>(s)</w:t>
      </w:r>
      <w:r>
        <w:t>:</w:t>
      </w:r>
    </w:p>
    <w:p w:rsidR="00412DAD" w:rsidRPr="00AA5198" w:rsidRDefault="00060872" w:rsidP="00412DAD">
      <w:r w:rsidRPr="00AA5198">
        <w:t>The s</w:t>
      </w:r>
      <w:r w:rsidR="00412DAD" w:rsidRPr="00AA5198">
        <w:t xml:space="preserve">yllabus </w:t>
      </w:r>
      <w:r w:rsidR="00B229FE" w:rsidRPr="00AA5198">
        <w:t xml:space="preserve">is </w:t>
      </w:r>
      <w:r w:rsidR="00412DAD" w:rsidRPr="00AA5198">
        <w:t>subject to changes.</w:t>
      </w:r>
      <w:r w:rsidR="0004129E">
        <w:t xml:space="preserve">  </w:t>
      </w:r>
      <w:r w:rsidR="0004129E" w:rsidRPr="00442538">
        <w:rPr>
          <w:color w:val="000000" w:themeColor="text1"/>
        </w:rPr>
        <w:t>There are out-of-pocket expenses that are required for this program that must be paid as they occur. Please see the college website.</w:t>
      </w:r>
    </w:p>
    <w:p w:rsidR="00984C09" w:rsidRPr="00AA5198" w:rsidRDefault="00F819B0" w:rsidP="00060872">
      <w:pPr>
        <w:pStyle w:val="Heading2"/>
      </w:pPr>
      <w:r w:rsidRPr="00AA5198">
        <w:t>REQUIRED TEXT</w:t>
      </w:r>
    </w:p>
    <w:p w:rsidR="00F90F95" w:rsidRPr="00AA5198" w:rsidRDefault="00F90F95" w:rsidP="00F90F95">
      <w:r w:rsidRPr="00AA5198">
        <w:t>J.J. Keller &amp; Associates. (2019, Fifth printing April 2021). Entry-Level Driver Training: Obtaining a CDL. Student Manual. J.J. Keller &amp; Associates, Inc.</w:t>
      </w:r>
      <w:r w:rsidR="009A6ED0" w:rsidRPr="00AA5198">
        <w:t>:  ISBN 978-1-68008-493-1</w:t>
      </w:r>
    </w:p>
    <w:p w:rsidR="00984C09" w:rsidRDefault="00F90F95" w:rsidP="00F90F95">
      <w:pPr>
        <w:pStyle w:val="Heading2"/>
        <w:tabs>
          <w:tab w:val="left" w:pos="7524"/>
        </w:tabs>
      </w:pPr>
      <w:r w:rsidRPr="00F90F95">
        <w:rPr>
          <w:rFonts w:eastAsia="Times New Roman" w:cs="Times New Roman" w:hint="eastAsia"/>
          <w:b w:val="0"/>
          <w:caps w:val="0"/>
          <w:strike/>
          <w:color w:val="FF0000"/>
          <w:szCs w:val="20"/>
        </w:rPr>
        <w:t>‌</w:t>
      </w:r>
      <w:r w:rsidR="00F819B0" w:rsidRPr="00F819B0">
        <w:t>REQUIRED SUPPLIES &amp; SOFTWARE</w:t>
      </w:r>
      <w:r>
        <w:tab/>
      </w:r>
    </w:p>
    <w:p w:rsidR="00BA61AC" w:rsidRDefault="0061029E" w:rsidP="00BA61AC">
      <w:r>
        <w:t>T</w:t>
      </w:r>
      <w:r w:rsidR="00E8370F">
        <w:t>wo</w:t>
      </w:r>
      <w:r w:rsidR="004F7098">
        <w:t xml:space="preserve"> log books,</w:t>
      </w:r>
      <w:r w:rsidR="009D6749">
        <w:t xml:space="preserve"> ink pen,</w:t>
      </w:r>
      <w:r w:rsidR="004F7098">
        <w:t xml:space="preserve"> and one notebook.</w:t>
      </w:r>
      <w:r w:rsidR="009D6749">
        <w:t xml:space="preserve"> </w:t>
      </w:r>
      <w:r w:rsidR="009B1264">
        <w:t>Please bring all required supplies to class each day.</w:t>
      </w:r>
    </w:p>
    <w:p w:rsidR="006E0B52" w:rsidRDefault="006E0B52" w:rsidP="00BA61AC"/>
    <w:p w:rsidR="00BA61AC" w:rsidRPr="00BC6B98" w:rsidRDefault="00BA61AC" w:rsidP="00BA61AC">
      <w:pPr>
        <w:widowControl/>
        <w:rPr>
          <w:rFonts w:cs="Arial"/>
          <w:b/>
        </w:rPr>
      </w:pPr>
      <w:r w:rsidRPr="00BC6B98">
        <w:rPr>
          <w:rFonts w:cs="Arial"/>
          <w:b/>
        </w:rPr>
        <w:lastRenderedPageBreak/>
        <w:t>Students should not share login credentials with others and should change passwords periodically to maintain security.</w:t>
      </w:r>
    </w:p>
    <w:p w:rsidR="00F94028" w:rsidRDefault="00F819B0" w:rsidP="00060872">
      <w:pPr>
        <w:pStyle w:val="Heading2"/>
      </w:pPr>
      <w:r>
        <w:t>COURSE DESCRIPTION</w:t>
      </w:r>
    </w:p>
    <w:p w:rsidR="0061029E" w:rsidRPr="00B229FE" w:rsidRDefault="00A77606" w:rsidP="00B229FE">
      <w:pPr>
        <w:rPr>
          <w:rFonts w:cs="Calibri"/>
          <w:color w:val="000000" w:themeColor="text1"/>
          <w:szCs w:val="24"/>
        </w:rPr>
      </w:pPr>
      <w:r w:rsidRPr="00AA1BB4">
        <w:rPr>
          <w:rFonts w:cs="Calibri"/>
          <w:color w:val="000000" w:themeColor="text1"/>
          <w:szCs w:val="24"/>
        </w:rPr>
        <w:t>Fundamentals of Commercial Driving introduces students to the transportation industry, federal and state regulations, records and forms, industrial relations, and other non-driving activities. This course provides an emphasis on safety that will continue throughout the program</w:t>
      </w:r>
      <w:r w:rsidR="00B939A9">
        <w:rPr>
          <w:rFonts w:cs="Calibri"/>
          <w:color w:val="000000" w:themeColor="text1"/>
          <w:szCs w:val="24"/>
        </w:rPr>
        <w:t>.</w:t>
      </w:r>
      <w:r w:rsidR="000755C0">
        <w:rPr>
          <w:rFonts w:cs="Calibri"/>
          <w:color w:val="000000" w:themeColor="text1"/>
          <w:szCs w:val="24"/>
        </w:rPr>
        <w:t xml:space="preserve"> </w:t>
      </w:r>
    </w:p>
    <w:p w:rsidR="00B229FE" w:rsidRDefault="00B229FE" w:rsidP="00B229FE"/>
    <w:p w:rsidR="00B229FE" w:rsidRDefault="00B229FE" w:rsidP="00B229FE">
      <w:r>
        <w:t>Note:</w:t>
      </w:r>
    </w:p>
    <w:p w:rsidR="008F594F" w:rsidRPr="002D459B" w:rsidRDefault="008F594F" w:rsidP="00B229FE">
      <w:pPr>
        <w:rPr>
          <w:color w:val="00B050"/>
        </w:rPr>
      </w:pPr>
      <w:r w:rsidRPr="00A32C53">
        <w:t xml:space="preserve">The standard curriculum for the Commercial Truck Driving (CTD) program includes three (3) semester courses taught sequentially within the 7 </w:t>
      </w:r>
      <w:proofErr w:type="gramStart"/>
      <w:r w:rsidRPr="00A32C53">
        <w:t>1/2 week</w:t>
      </w:r>
      <w:proofErr w:type="gramEnd"/>
      <w:r w:rsidRPr="00A32C53">
        <w:t xml:space="preserve"> course of study. Each course of the sequence must be successfully completed within the designated teaching time frame of the course before moving on to the next course. Students will be withdrawn from </w:t>
      </w:r>
      <w:r w:rsidR="007550CF">
        <w:t xml:space="preserve">the </w:t>
      </w:r>
      <w:r w:rsidRPr="00A32C53">
        <w:t xml:space="preserve">remaining courses if successful completion is not acquired on pre-requisite courses. Although the College operates on the semester system, due to the nature of the coursework, the CTD program will offer classes five (5) times during the school year, enabling five (5) cohorts of students each year. The program will therefore admit new students five (5) times a year. To graduate, students must earn a minimum of nine (9) semester credit hours. </w:t>
      </w:r>
      <w:r w:rsidR="002D459B" w:rsidRPr="00442538">
        <w:rPr>
          <w:color w:val="000000" w:themeColor="text1"/>
        </w:rPr>
        <w:t>(Due to courses being offered during Terms A and B, there are 15 opportunities to complete the CTD program throughout the year.)</w:t>
      </w:r>
    </w:p>
    <w:p w:rsidR="004A3935" w:rsidRPr="00AA5198" w:rsidRDefault="004A3935" w:rsidP="00060872">
      <w:pPr>
        <w:pStyle w:val="Heading2"/>
      </w:pPr>
      <w:r w:rsidRPr="00AA5198">
        <w:t>MAJOR COURSE COMPETENCIES / outline</w:t>
      </w:r>
    </w:p>
    <w:p w:rsidR="004A3935" w:rsidRPr="00AA5198" w:rsidRDefault="004A3935" w:rsidP="004A3935">
      <w:pPr>
        <w:rPr>
          <w:rFonts w:cs="Calibri"/>
          <w:szCs w:val="24"/>
        </w:rPr>
      </w:pPr>
      <w:r w:rsidRPr="00AA5198">
        <w:rPr>
          <w:rFonts w:cs="Calibri"/>
          <w:szCs w:val="24"/>
        </w:rPr>
        <w:t xml:space="preserve">The student(s) will be competent and able to successfully perform, complete, and/or discuss the following: </w:t>
      </w:r>
    </w:p>
    <w:p w:rsidR="004A3935" w:rsidRPr="00AA5198" w:rsidRDefault="004A3935" w:rsidP="004A3935">
      <w:pPr>
        <w:pStyle w:val="ListParagraph"/>
        <w:numPr>
          <w:ilvl w:val="0"/>
          <w:numId w:val="25"/>
        </w:numPr>
        <w:rPr>
          <w:rFonts w:cs="Calibri"/>
          <w:szCs w:val="24"/>
        </w:rPr>
      </w:pPr>
      <w:r w:rsidRPr="00AA5198">
        <w:rPr>
          <w:rFonts w:cs="Calibri"/>
          <w:szCs w:val="24"/>
        </w:rPr>
        <w:t>Introduce Fundamentals of Commercial Driving</w:t>
      </w:r>
    </w:p>
    <w:p w:rsidR="004A3935" w:rsidRPr="00AA5198" w:rsidRDefault="004A3935" w:rsidP="004A3935">
      <w:pPr>
        <w:pStyle w:val="ListParagraph"/>
        <w:numPr>
          <w:ilvl w:val="0"/>
          <w:numId w:val="25"/>
        </w:numPr>
        <w:rPr>
          <w:rFonts w:cs="Calibri"/>
          <w:szCs w:val="24"/>
        </w:rPr>
      </w:pPr>
      <w:r w:rsidRPr="00AA5198">
        <w:rPr>
          <w:rFonts w:cs="Calibri"/>
          <w:szCs w:val="24"/>
        </w:rPr>
        <w:t>Safe Operating Procedures</w:t>
      </w:r>
    </w:p>
    <w:p w:rsidR="004A3935" w:rsidRPr="00AA5198" w:rsidRDefault="004A3935" w:rsidP="004A3935">
      <w:pPr>
        <w:pStyle w:val="ListParagraph"/>
        <w:numPr>
          <w:ilvl w:val="0"/>
          <w:numId w:val="25"/>
        </w:numPr>
        <w:rPr>
          <w:rFonts w:cs="Calibri"/>
          <w:szCs w:val="24"/>
        </w:rPr>
      </w:pPr>
      <w:r w:rsidRPr="00AA5198">
        <w:rPr>
          <w:rFonts w:cs="Calibri"/>
          <w:szCs w:val="24"/>
        </w:rPr>
        <w:t>Advanced Operating Procedures</w:t>
      </w:r>
    </w:p>
    <w:p w:rsidR="004A3935" w:rsidRPr="00AA5198" w:rsidRDefault="004A3935" w:rsidP="004A3935">
      <w:pPr>
        <w:pStyle w:val="ListParagraph"/>
        <w:numPr>
          <w:ilvl w:val="0"/>
          <w:numId w:val="25"/>
        </w:numPr>
        <w:rPr>
          <w:rFonts w:cs="Calibri"/>
          <w:szCs w:val="24"/>
        </w:rPr>
      </w:pPr>
      <w:r w:rsidRPr="00AA5198">
        <w:rPr>
          <w:rFonts w:cs="Calibri"/>
          <w:szCs w:val="24"/>
        </w:rPr>
        <w:t>Vehicle Systems and Reporting Malfunctions</w:t>
      </w:r>
    </w:p>
    <w:p w:rsidR="000755C0" w:rsidRPr="00AA5198" w:rsidRDefault="004A3935" w:rsidP="007D03EC">
      <w:pPr>
        <w:pStyle w:val="ListParagraph"/>
        <w:numPr>
          <w:ilvl w:val="0"/>
          <w:numId w:val="25"/>
        </w:numPr>
      </w:pPr>
      <w:r w:rsidRPr="00AA5198">
        <w:rPr>
          <w:rFonts w:cs="Calibri"/>
          <w:szCs w:val="24"/>
        </w:rPr>
        <w:t>Non-driving Activities</w:t>
      </w:r>
    </w:p>
    <w:p w:rsidR="0059262F" w:rsidRPr="0059262F" w:rsidRDefault="0059262F" w:rsidP="0059262F">
      <w:pPr>
        <w:pStyle w:val="Heading2"/>
        <w:rPr>
          <w:color w:val="365F91" w:themeColor="accent1" w:themeShade="BF"/>
        </w:rPr>
      </w:pPr>
      <w:r w:rsidRPr="0059262F">
        <w:rPr>
          <w:color w:val="365F91" w:themeColor="accent1" w:themeShade="BF"/>
        </w:rPr>
        <w:t>REGULATORY REQUIREMENTS</w:t>
      </w:r>
    </w:p>
    <w:p w:rsidR="0059262F" w:rsidRPr="0059262F" w:rsidRDefault="0059262F" w:rsidP="0059262F">
      <w:pPr>
        <w:rPr>
          <w:color w:val="365F91" w:themeColor="accent1" w:themeShade="BF"/>
        </w:rPr>
      </w:pPr>
      <w:r w:rsidRPr="0059262F">
        <w:rPr>
          <w:color w:val="365F91" w:themeColor="accent1" w:themeShade="BF"/>
        </w:rPr>
        <w:t>Students who do not meet regulatory requirements, such as passing drug tests, are administratively withdrawn from the program.  Students are responsible for costs incurred.</w:t>
      </w:r>
    </w:p>
    <w:p w:rsidR="0059262F" w:rsidRPr="0059262F" w:rsidRDefault="0059262F" w:rsidP="004A3935">
      <w:pPr>
        <w:rPr>
          <w:color w:val="365F91" w:themeColor="accent1" w:themeShade="BF"/>
        </w:rPr>
      </w:pPr>
    </w:p>
    <w:p w:rsidR="004A3935" w:rsidRPr="0059262F" w:rsidRDefault="004A3935" w:rsidP="004A3935">
      <w:pPr>
        <w:rPr>
          <w:color w:val="365F91" w:themeColor="accent1" w:themeShade="BF"/>
        </w:rPr>
      </w:pPr>
      <w:r w:rsidRPr="0059262F">
        <w:rPr>
          <w:color w:val="365F91" w:themeColor="accent1" w:themeShade="BF"/>
        </w:rPr>
        <w:t xml:space="preserve">This course meets the minimum Federal curricula requirements as set forth in the Entry-Level Driver Training (ELDT) regulations.  Southeastern Technical College is registered as a training provider at </w:t>
      </w:r>
      <w:hyperlink r:id="rId16" w:history="1">
        <w:r w:rsidRPr="0059262F">
          <w:rPr>
            <w:rStyle w:val="Hyperlink"/>
            <w:color w:val="365F91" w:themeColor="accent1" w:themeShade="BF"/>
          </w:rPr>
          <w:t>http://tpr.fmcsa.dot.gov/provider</w:t>
        </w:r>
      </w:hyperlink>
      <w:r w:rsidRPr="00AA5198">
        <w:rPr>
          <w:color w:val="365F91" w:themeColor="accent1" w:themeShade="BF"/>
        </w:rPr>
        <w:t xml:space="preserve">.  </w:t>
      </w:r>
      <w:r w:rsidR="006D2642" w:rsidRPr="00AA5198">
        <w:rPr>
          <w:color w:val="365F91" w:themeColor="accent1" w:themeShade="BF"/>
        </w:rPr>
        <w:t>Students who do not</w:t>
      </w:r>
      <w:r w:rsidR="00111E82" w:rsidRPr="00AA5198">
        <w:rPr>
          <w:color w:val="365F91" w:themeColor="accent1" w:themeShade="BF"/>
        </w:rPr>
        <w:t xml:space="preserve"> earn a minimum overall score of 80 percent</w:t>
      </w:r>
      <w:r w:rsidR="006D2642" w:rsidRPr="00AA5198">
        <w:rPr>
          <w:color w:val="365F91" w:themeColor="accent1" w:themeShade="BF"/>
        </w:rPr>
        <w:t xml:space="preserve"> on the </w:t>
      </w:r>
      <w:r w:rsidR="00083CBD" w:rsidRPr="00AA5198">
        <w:rPr>
          <w:color w:val="365F91" w:themeColor="accent1" w:themeShade="BF"/>
        </w:rPr>
        <w:t xml:space="preserve">CTDL 1010 </w:t>
      </w:r>
      <w:r w:rsidR="006D2642" w:rsidRPr="00AA5198">
        <w:rPr>
          <w:color w:val="365F91" w:themeColor="accent1" w:themeShade="BF"/>
        </w:rPr>
        <w:t>theory assessment(s</w:t>
      </w:r>
      <w:r w:rsidR="00083CBD" w:rsidRPr="00AA5198">
        <w:rPr>
          <w:color w:val="365F91" w:themeColor="accent1" w:themeShade="BF"/>
        </w:rPr>
        <w:t>), or obtain a B in CTDL 1010, are withdrawn from the remainder of the program for the term (i.e. withdrawn from</w:t>
      </w:r>
      <w:r w:rsidR="002300E9">
        <w:rPr>
          <w:color w:val="365F91" w:themeColor="accent1" w:themeShade="BF"/>
        </w:rPr>
        <w:t xml:space="preserve"> the remaining courses</w:t>
      </w:r>
      <w:r w:rsidR="001868F1">
        <w:rPr>
          <w:color w:val="365F91" w:themeColor="accent1" w:themeShade="BF"/>
        </w:rPr>
        <w:t xml:space="preserve">, </w:t>
      </w:r>
      <w:r w:rsidR="00083CBD" w:rsidRPr="00AA5198">
        <w:rPr>
          <w:color w:val="365F91" w:themeColor="accent1" w:themeShade="BF"/>
        </w:rPr>
        <w:t>CTDL 1021 and CTDL 1031</w:t>
      </w:r>
      <w:r w:rsidR="002300E9">
        <w:rPr>
          <w:color w:val="365F91" w:themeColor="accent1" w:themeShade="BF"/>
        </w:rPr>
        <w:t>).</w:t>
      </w:r>
      <w:r w:rsidR="006D2642" w:rsidRPr="00AA5198">
        <w:rPr>
          <w:color w:val="365F91" w:themeColor="accent1" w:themeShade="BF"/>
        </w:rPr>
        <w:t xml:space="preserve">  Students are responsible for costs incurred.</w:t>
      </w:r>
      <w:r w:rsidR="00C25A85">
        <w:rPr>
          <w:color w:val="365F91" w:themeColor="accent1" w:themeShade="BF"/>
        </w:rPr>
        <w:t xml:space="preserve"> </w:t>
      </w:r>
    </w:p>
    <w:p w:rsidR="004924AE" w:rsidRDefault="004924AE" w:rsidP="004A3935"/>
    <w:p w:rsidR="004924AE" w:rsidRPr="000624CA" w:rsidRDefault="004924AE" w:rsidP="00060872">
      <w:pPr>
        <w:pStyle w:val="Heading2"/>
      </w:pPr>
      <w:r w:rsidRPr="000624CA">
        <w:t>Entry-Level Driver Training (ELDT) minimum Federal Theory Instruction Standard Curriculum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LDT Theory Instruction Standard Curriculum"/>
        <w:tblDescription w:val="The ELDT (Entry-Level Driver Training) Theory Instruction Standard Curriculum is presented in two columns."/>
      </w:tblPr>
      <w:tblGrid>
        <w:gridCol w:w="5395"/>
        <w:gridCol w:w="5395"/>
      </w:tblGrid>
      <w:tr w:rsidR="00AA5198" w:rsidRPr="00AA5198" w:rsidTr="000624CA">
        <w:trPr>
          <w:cantSplit/>
          <w:tblHeader/>
        </w:trPr>
        <w:tc>
          <w:tcPr>
            <w:tcW w:w="5395" w:type="dxa"/>
          </w:tcPr>
          <w:p w:rsidR="00111E82" w:rsidRPr="00AA5198" w:rsidRDefault="00111E82" w:rsidP="004A3935"/>
        </w:tc>
        <w:tc>
          <w:tcPr>
            <w:tcW w:w="5395" w:type="dxa"/>
          </w:tcPr>
          <w:p w:rsidR="00111E82" w:rsidRPr="00AA5198" w:rsidRDefault="00111E82" w:rsidP="004A3935"/>
        </w:tc>
      </w:tr>
      <w:tr w:rsidR="00AA5198" w:rsidRPr="00AA5198" w:rsidTr="000624CA">
        <w:tc>
          <w:tcPr>
            <w:tcW w:w="5395" w:type="dxa"/>
          </w:tcPr>
          <w:p w:rsidR="00111E82" w:rsidRPr="00AA5198" w:rsidRDefault="00111E82" w:rsidP="00111E82">
            <w:pPr>
              <w:rPr>
                <w:b/>
              </w:rPr>
            </w:pPr>
            <w:r w:rsidRPr="00AA5198">
              <w:rPr>
                <w:b/>
              </w:rPr>
              <w:t>A1.1 Basic Operation</w:t>
            </w:r>
          </w:p>
        </w:tc>
        <w:tc>
          <w:tcPr>
            <w:tcW w:w="5395" w:type="dxa"/>
          </w:tcPr>
          <w:p w:rsidR="00111E82" w:rsidRPr="00AA5198" w:rsidRDefault="00111E82" w:rsidP="00111E82">
            <w:pPr>
              <w:rPr>
                <w:b/>
              </w:rPr>
            </w:pPr>
            <w:r w:rsidRPr="00AA5198">
              <w:rPr>
                <w:b/>
              </w:rPr>
              <w:t>A1.4 Vehicle Systems and Reporting Malfunctions</w:t>
            </w:r>
          </w:p>
        </w:tc>
      </w:tr>
      <w:tr w:rsidR="00AA5198" w:rsidRPr="00AA5198" w:rsidTr="000624CA">
        <w:tc>
          <w:tcPr>
            <w:tcW w:w="5395" w:type="dxa"/>
          </w:tcPr>
          <w:p w:rsidR="00111E82" w:rsidRPr="00AA5198" w:rsidRDefault="00111E82" w:rsidP="00111E82">
            <w:r w:rsidRPr="00AA5198">
              <w:t>1.1.1 Orientation</w:t>
            </w:r>
          </w:p>
        </w:tc>
        <w:tc>
          <w:tcPr>
            <w:tcW w:w="5395" w:type="dxa"/>
          </w:tcPr>
          <w:p w:rsidR="00111E82" w:rsidRPr="00AA5198" w:rsidRDefault="00111E82" w:rsidP="00111E82">
            <w:r w:rsidRPr="00AA5198">
              <w:t>1.4.1 Identification and Diagnosis of Malfunctions</w:t>
            </w:r>
          </w:p>
        </w:tc>
      </w:tr>
      <w:tr w:rsidR="00AA5198" w:rsidRPr="00AA5198" w:rsidTr="000624CA">
        <w:tc>
          <w:tcPr>
            <w:tcW w:w="5395" w:type="dxa"/>
          </w:tcPr>
          <w:p w:rsidR="00111E82" w:rsidRPr="00AA5198" w:rsidRDefault="00111E82" w:rsidP="00111E82">
            <w:r w:rsidRPr="00AA5198">
              <w:t>1.1.2 Control Systems/Dashboard</w:t>
            </w:r>
          </w:p>
        </w:tc>
        <w:tc>
          <w:tcPr>
            <w:tcW w:w="5395" w:type="dxa"/>
          </w:tcPr>
          <w:p w:rsidR="00111E82" w:rsidRPr="00AA5198" w:rsidRDefault="00111E82" w:rsidP="00111E82">
            <w:r w:rsidRPr="00AA5198">
              <w:t>1.4.2 Roadside Inspections</w:t>
            </w:r>
          </w:p>
        </w:tc>
      </w:tr>
      <w:tr w:rsidR="00AA5198" w:rsidRPr="00AA5198" w:rsidTr="000624CA">
        <w:tc>
          <w:tcPr>
            <w:tcW w:w="5395" w:type="dxa"/>
          </w:tcPr>
          <w:p w:rsidR="00111E82" w:rsidRPr="00AA5198" w:rsidRDefault="00111E82" w:rsidP="00111E82">
            <w:r w:rsidRPr="00AA5198">
              <w:t>1.1.3 Pre- and Post-Trip Inspections</w:t>
            </w:r>
          </w:p>
        </w:tc>
        <w:tc>
          <w:tcPr>
            <w:tcW w:w="5395" w:type="dxa"/>
          </w:tcPr>
          <w:p w:rsidR="00111E82" w:rsidRPr="00AA5198" w:rsidRDefault="00111E82" w:rsidP="00111E82">
            <w:r w:rsidRPr="00AA5198">
              <w:t>1.4.3 Maintenance</w:t>
            </w:r>
          </w:p>
        </w:tc>
      </w:tr>
      <w:tr w:rsidR="00AA5198" w:rsidRPr="00AA5198" w:rsidTr="000624CA">
        <w:tc>
          <w:tcPr>
            <w:tcW w:w="5395" w:type="dxa"/>
          </w:tcPr>
          <w:p w:rsidR="00111E82" w:rsidRPr="00AA5198" w:rsidRDefault="00111E82" w:rsidP="00111E82">
            <w:r w:rsidRPr="00AA5198">
              <w:t>1.1.4 Basic Control</w:t>
            </w:r>
          </w:p>
        </w:tc>
        <w:tc>
          <w:tcPr>
            <w:tcW w:w="5395" w:type="dxa"/>
          </w:tcPr>
          <w:p w:rsidR="00111E82" w:rsidRPr="00AA5198" w:rsidRDefault="00111E82" w:rsidP="00111E82">
            <w:pPr>
              <w:rPr>
                <w:b/>
              </w:rPr>
            </w:pPr>
            <w:r w:rsidRPr="00AA5198">
              <w:rPr>
                <w:b/>
              </w:rPr>
              <w:t>A1.5 Non-Driving Activities</w:t>
            </w:r>
          </w:p>
        </w:tc>
      </w:tr>
      <w:tr w:rsidR="00AA5198" w:rsidRPr="00AA5198" w:rsidTr="000624CA">
        <w:tc>
          <w:tcPr>
            <w:tcW w:w="5395" w:type="dxa"/>
          </w:tcPr>
          <w:p w:rsidR="00111E82" w:rsidRPr="00AA5198" w:rsidRDefault="00111E82" w:rsidP="00111E82">
            <w:r w:rsidRPr="00AA5198">
              <w:t>1.1.5 Shifting/Operating Transmissions</w:t>
            </w:r>
          </w:p>
        </w:tc>
        <w:tc>
          <w:tcPr>
            <w:tcW w:w="5395" w:type="dxa"/>
          </w:tcPr>
          <w:p w:rsidR="00111E82" w:rsidRPr="00AA5198" w:rsidRDefault="00111E82" w:rsidP="00111E82">
            <w:r w:rsidRPr="00AA5198">
              <w:t>1.5.1 Handling and Documenting Cargo</w:t>
            </w:r>
          </w:p>
        </w:tc>
      </w:tr>
      <w:tr w:rsidR="00AA5198" w:rsidRPr="00AA5198" w:rsidTr="000624CA">
        <w:tc>
          <w:tcPr>
            <w:tcW w:w="5395" w:type="dxa"/>
          </w:tcPr>
          <w:p w:rsidR="00111E82" w:rsidRPr="00AA5198" w:rsidRDefault="00111E82" w:rsidP="00111E82">
            <w:r w:rsidRPr="00AA5198">
              <w:lastRenderedPageBreak/>
              <w:t>1.1.6 Backing and Docking</w:t>
            </w:r>
          </w:p>
        </w:tc>
        <w:tc>
          <w:tcPr>
            <w:tcW w:w="5395" w:type="dxa"/>
          </w:tcPr>
          <w:p w:rsidR="00111E82" w:rsidRPr="00AA5198" w:rsidRDefault="00111E82" w:rsidP="00111E82">
            <w:r w:rsidRPr="00AA5198">
              <w:t>1.5.2 Environmental Compliance Issues</w:t>
            </w:r>
          </w:p>
        </w:tc>
      </w:tr>
      <w:tr w:rsidR="00AA5198" w:rsidRPr="00AA5198" w:rsidTr="000624CA">
        <w:tc>
          <w:tcPr>
            <w:tcW w:w="5395" w:type="dxa"/>
          </w:tcPr>
          <w:p w:rsidR="00111E82" w:rsidRPr="00AA5198" w:rsidRDefault="00111E82" w:rsidP="00111E82">
            <w:r w:rsidRPr="00AA5198">
              <w:t>1.1.7 Coupling and Uncoupling</w:t>
            </w:r>
          </w:p>
        </w:tc>
        <w:tc>
          <w:tcPr>
            <w:tcW w:w="5395" w:type="dxa"/>
          </w:tcPr>
          <w:p w:rsidR="00111E82" w:rsidRPr="00AA5198" w:rsidRDefault="00111E82" w:rsidP="00111E82">
            <w:r w:rsidRPr="00AA5198">
              <w:t>1.5.3 Hours of Service Requirements</w:t>
            </w:r>
          </w:p>
        </w:tc>
      </w:tr>
      <w:tr w:rsidR="00AA5198" w:rsidRPr="00AA5198" w:rsidTr="000624CA">
        <w:tc>
          <w:tcPr>
            <w:tcW w:w="5395" w:type="dxa"/>
          </w:tcPr>
          <w:p w:rsidR="00111E82" w:rsidRPr="00AA5198" w:rsidRDefault="00111E82" w:rsidP="00111E82">
            <w:pPr>
              <w:rPr>
                <w:b/>
              </w:rPr>
            </w:pPr>
            <w:r w:rsidRPr="00AA5198">
              <w:rPr>
                <w:b/>
              </w:rPr>
              <w:t>A1.2 Safe Operating Procedures</w:t>
            </w:r>
          </w:p>
        </w:tc>
        <w:tc>
          <w:tcPr>
            <w:tcW w:w="5395" w:type="dxa"/>
          </w:tcPr>
          <w:p w:rsidR="00111E82" w:rsidRPr="00AA5198" w:rsidRDefault="00111E82" w:rsidP="00111E82">
            <w:r w:rsidRPr="00AA5198">
              <w:t>1.5.4 Fatigue and Wellness Awareness</w:t>
            </w:r>
          </w:p>
        </w:tc>
      </w:tr>
      <w:tr w:rsidR="00AA5198" w:rsidRPr="00AA5198" w:rsidTr="000624CA">
        <w:tc>
          <w:tcPr>
            <w:tcW w:w="5395" w:type="dxa"/>
          </w:tcPr>
          <w:p w:rsidR="00111E82" w:rsidRPr="00AA5198" w:rsidRDefault="00111E82" w:rsidP="00111E82">
            <w:r w:rsidRPr="00AA5198">
              <w:t>1.2.1 Visual Search</w:t>
            </w:r>
          </w:p>
        </w:tc>
        <w:tc>
          <w:tcPr>
            <w:tcW w:w="5395" w:type="dxa"/>
          </w:tcPr>
          <w:p w:rsidR="00111E82" w:rsidRPr="00AA5198" w:rsidRDefault="00111E82" w:rsidP="00111E82">
            <w:r w:rsidRPr="00AA5198">
              <w:t>1.5.5 Post-Crash Procedures</w:t>
            </w:r>
          </w:p>
        </w:tc>
      </w:tr>
      <w:tr w:rsidR="00AA5198" w:rsidRPr="00AA5198" w:rsidTr="000624CA">
        <w:tc>
          <w:tcPr>
            <w:tcW w:w="5395" w:type="dxa"/>
          </w:tcPr>
          <w:p w:rsidR="00111E82" w:rsidRPr="00AA5198" w:rsidRDefault="00111E82" w:rsidP="00111E82">
            <w:r w:rsidRPr="00AA5198">
              <w:t>1.2.2 Communication</w:t>
            </w:r>
          </w:p>
        </w:tc>
        <w:tc>
          <w:tcPr>
            <w:tcW w:w="5395" w:type="dxa"/>
          </w:tcPr>
          <w:p w:rsidR="00111E82" w:rsidRPr="00AA5198" w:rsidRDefault="00111E82" w:rsidP="00111E82">
            <w:r w:rsidRPr="00AA5198">
              <w:t>1.5.6 External Communications</w:t>
            </w:r>
          </w:p>
        </w:tc>
      </w:tr>
      <w:tr w:rsidR="00AA5198" w:rsidRPr="00AA5198" w:rsidTr="000624CA">
        <w:tc>
          <w:tcPr>
            <w:tcW w:w="5395" w:type="dxa"/>
          </w:tcPr>
          <w:p w:rsidR="00111E82" w:rsidRPr="00AA5198" w:rsidRDefault="00111E82" w:rsidP="00111E82">
            <w:r w:rsidRPr="00AA5198">
              <w:t>1.2.3 Distracted Driving</w:t>
            </w:r>
          </w:p>
        </w:tc>
        <w:tc>
          <w:tcPr>
            <w:tcW w:w="5395" w:type="dxa"/>
          </w:tcPr>
          <w:p w:rsidR="00111E82" w:rsidRPr="00AA5198" w:rsidRDefault="00111E82" w:rsidP="00111E82">
            <w:r w:rsidRPr="00AA5198">
              <w:t>1.5.7 Whistleblower/Coercion</w:t>
            </w:r>
          </w:p>
        </w:tc>
      </w:tr>
      <w:tr w:rsidR="00AA5198" w:rsidRPr="00AA5198" w:rsidTr="000624CA">
        <w:tc>
          <w:tcPr>
            <w:tcW w:w="5395" w:type="dxa"/>
          </w:tcPr>
          <w:p w:rsidR="00111E82" w:rsidRPr="00AA5198" w:rsidRDefault="00111E82" w:rsidP="00111E82">
            <w:r w:rsidRPr="00AA5198">
              <w:t>1.2.4 Speed Management</w:t>
            </w:r>
          </w:p>
        </w:tc>
        <w:tc>
          <w:tcPr>
            <w:tcW w:w="5395" w:type="dxa"/>
          </w:tcPr>
          <w:p w:rsidR="00111E82" w:rsidRPr="00AA5198" w:rsidRDefault="00111E82" w:rsidP="00111E82">
            <w:r w:rsidRPr="00AA5198">
              <w:t>1.5.8 Trip Planning</w:t>
            </w:r>
          </w:p>
        </w:tc>
      </w:tr>
      <w:tr w:rsidR="00AA5198" w:rsidRPr="00AA5198" w:rsidTr="000624CA">
        <w:tc>
          <w:tcPr>
            <w:tcW w:w="5395" w:type="dxa"/>
          </w:tcPr>
          <w:p w:rsidR="00111E82" w:rsidRPr="00AA5198" w:rsidRDefault="00111E82" w:rsidP="00111E82">
            <w:r w:rsidRPr="00AA5198">
              <w:t>1.2.5 Space Management</w:t>
            </w:r>
          </w:p>
        </w:tc>
        <w:tc>
          <w:tcPr>
            <w:tcW w:w="5395" w:type="dxa"/>
          </w:tcPr>
          <w:p w:rsidR="00111E82" w:rsidRPr="00AA5198" w:rsidRDefault="00111E82" w:rsidP="00111E82">
            <w:r w:rsidRPr="00AA5198">
              <w:t>1.5.9 Drugs/Alcohol</w:t>
            </w:r>
          </w:p>
        </w:tc>
      </w:tr>
      <w:tr w:rsidR="00AA5198" w:rsidRPr="00AA5198" w:rsidTr="000624CA">
        <w:tc>
          <w:tcPr>
            <w:tcW w:w="5395" w:type="dxa"/>
          </w:tcPr>
          <w:p w:rsidR="00111E82" w:rsidRPr="00AA5198" w:rsidRDefault="00111E82" w:rsidP="00111E82">
            <w:r w:rsidRPr="00AA5198">
              <w:t>1.2.6 Night Operation</w:t>
            </w:r>
          </w:p>
        </w:tc>
        <w:tc>
          <w:tcPr>
            <w:tcW w:w="5395" w:type="dxa"/>
          </w:tcPr>
          <w:p w:rsidR="00111E82" w:rsidRPr="00AA5198" w:rsidRDefault="00111E82" w:rsidP="00111E82">
            <w:r w:rsidRPr="00AA5198">
              <w:t>1.5.10 Medical Requirements</w:t>
            </w:r>
          </w:p>
        </w:tc>
      </w:tr>
      <w:tr w:rsidR="00AA5198" w:rsidRPr="00AA5198" w:rsidTr="000624CA">
        <w:tc>
          <w:tcPr>
            <w:tcW w:w="5395" w:type="dxa"/>
          </w:tcPr>
          <w:p w:rsidR="00111E82" w:rsidRPr="00AA5198" w:rsidRDefault="00111E82" w:rsidP="00111E82">
            <w:r w:rsidRPr="00AA5198">
              <w:t>1.2.7 Extreme Driving Conditions</w:t>
            </w:r>
          </w:p>
        </w:tc>
        <w:tc>
          <w:tcPr>
            <w:tcW w:w="5395" w:type="dxa"/>
          </w:tcPr>
          <w:p w:rsidR="00111E82" w:rsidRPr="00AA5198" w:rsidRDefault="00111E82" w:rsidP="00111E82"/>
        </w:tc>
      </w:tr>
      <w:tr w:rsidR="00AA5198" w:rsidRPr="00AA5198" w:rsidTr="000624CA">
        <w:tc>
          <w:tcPr>
            <w:tcW w:w="5395" w:type="dxa"/>
          </w:tcPr>
          <w:p w:rsidR="00111E82" w:rsidRPr="00AA5198" w:rsidRDefault="00111E82" w:rsidP="00111E82">
            <w:pPr>
              <w:rPr>
                <w:b/>
              </w:rPr>
            </w:pPr>
            <w:r w:rsidRPr="00AA5198">
              <w:rPr>
                <w:b/>
              </w:rPr>
              <w:t>A1.3 Advanced Operating Practices</w:t>
            </w:r>
          </w:p>
        </w:tc>
        <w:tc>
          <w:tcPr>
            <w:tcW w:w="5395" w:type="dxa"/>
          </w:tcPr>
          <w:p w:rsidR="00111E82" w:rsidRPr="00AA5198" w:rsidRDefault="00111E82" w:rsidP="00111E82"/>
        </w:tc>
      </w:tr>
      <w:tr w:rsidR="00AA5198" w:rsidRPr="00AA5198" w:rsidTr="000624CA">
        <w:tc>
          <w:tcPr>
            <w:tcW w:w="5395" w:type="dxa"/>
          </w:tcPr>
          <w:p w:rsidR="00111E82" w:rsidRPr="00AA5198" w:rsidRDefault="00111E82" w:rsidP="00111E82">
            <w:r w:rsidRPr="00AA5198">
              <w:t>1.3.1 Hazard Perception</w:t>
            </w:r>
          </w:p>
        </w:tc>
        <w:tc>
          <w:tcPr>
            <w:tcW w:w="5395" w:type="dxa"/>
          </w:tcPr>
          <w:p w:rsidR="00111E82" w:rsidRPr="00AA5198" w:rsidRDefault="00111E82" w:rsidP="00111E82"/>
        </w:tc>
      </w:tr>
      <w:tr w:rsidR="00AA5198" w:rsidRPr="00AA5198" w:rsidTr="000624CA">
        <w:tc>
          <w:tcPr>
            <w:tcW w:w="5395" w:type="dxa"/>
          </w:tcPr>
          <w:p w:rsidR="00111E82" w:rsidRPr="00AA5198" w:rsidRDefault="00111E82" w:rsidP="00111E82">
            <w:r w:rsidRPr="00AA5198">
              <w:t>1.3.2 Skid Control/Recovery, Jackknifing, and Other Emergencies</w:t>
            </w:r>
          </w:p>
        </w:tc>
        <w:tc>
          <w:tcPr>
            <w:tcW w:w="5395" w:type="dxa"/>
          </w:tcPr>
          <w:p w:rsidR="00111E82" w:rsidRPr="00AA5198" w:rsidRDefault="00111E82" w:rsidP="00111E82"/>
        </w:tc>
      </w:tr>
      <w:tr w:rsidR="00AA5198" w:rsidRPr="00AA5198" w:rsidTr="000624CA">
        <w:tc>
          <w:tcPr>
            <w:tcW w:w="5395" w:type="dxa"/>
          </w:tcPr>
          <w:p w:rsidR="00111E82" w:rsidRPr="00AA5198" w:rsidRDefault="00111E82" w:rsidP="00111E82">
            <w:r w:rsidRPr="00AA5198">
              <w:t>1.3.3 Railroad-Highway Grade Crossings</w:t>
            </w:r>
          </w:p>
        </w:tc>
        <w:tc>
          <w:tcPr>
            <w:tcW w:w="5395" w:type="dxa"/>
          </w:tcPr>
          <w:p w:rsidR="00111E82" w:rsidRPr="00AA5198" w:rsidRDefault="00111E82" w:rsidP="00111E82"/>
        </w:tc>
      </w:tr>
    </w:tbl>
    <w:p w:rsidR="00F94028" w:rsidRPr="00F94028" w:rsidRDefault="00F819B0" w:rsidP="00060872">
      <w:pPr>
        <w:pStyle w:val="Heading2"/>
      </w:pPr>
      <w:r>
        <w:t>PREREQUISITE(S)</w:t>
      </w:r>
    </w:p>
    <w:p w:rsidR="00984C09" w:rsidRPr="009C2A88" w:rsidRDefault="00FF4651">
      <w:pPr>
        <w:rPr>
          <w:rFonts w:asciiTheme="minorHAnsi" w:hAnsiTheme="minorHAnsi" w:cstheme="minorHAnsi"/>
          <w:b/>
          <w:szCs w:val="24"/>
        </w:rPr>
      </w:pPr>
      <w:r>
        <w:rPr>
          <w:rFonts w:asciiTheme="minorHAnsi" w:hAnsiTheme="minorHAnsi" w:cstheme="minorHAnsi"/>
          <w:szCs w:val="24"/>
        </w:rPr>
        <w:t>None</w:t>
      </w:r>
    </w:p>
    <w:p w:rsidR="00F94028" w:rsidRPr="00F94028" w:rsidRDefault="00984C09" w:rsidP="00060872">
      <w:pPr>
        <w:pStyle w:val="Heading2"/>
      </w:pPr>
      <w:r w:rsidRPr="00FF76DC">
        <w:t>GENER</w:t>
      </w:r>
      <w:r w:rsidR="00F94028" w:rsidRPr="00FF76DC">
        <w:t>AL EDUCATION CORE COMPETENCIES</w:t>
      </w:r>
    </w:p>
    <w:p w:rsidR="00984C09" w:rsidRDefault="00D8012D" w:rsidP="00984C09">
      <w:pPr>
        <w:widowControl/>
        <w:rPr>
          <w:rFonts w:cs="Arial"/>
        </w:rPr>
      </w:pPr>
      <w:r>
        <w:rPr>
          <w:rFonts w:cs="Arial"/>
        </w:rPr>
        <w:t>Southeastern Technical College</w:t>
      </w:r>
      <w:r w:rsidR="00984C09" w:rsidRPr="00984C09">
        <w:rPr>
          <w:rFonts w:cs="Arial"/>
        </w:rPr>
        <w:t xml:space="preserve"> has identified the following general education core competenci</w:t>
      </w:r>
      <w:r>
        <w:rPr>
          <w:rFonts w:cs="Arial"/>
        </w:rPr>
        <w:t>es that graduates will attain:</w:t>
      </w:r>
      <w:r w:rsidR="00F83B84">
        <w:rPr>
          <w:rFonts w:cs="Arial"/>
        </w:rPr>
        <w:t xml:space="preserve"> </w:t>
      </w:r>
    </w:p>
    <w:p w:rsidR="00984C09" w:rsidRPr="00984C09" w:rsidRDefault="00984C09" w:rsidP="00D76A61">
      <w:pPr>
        <w:widowControl/>
        <w:numPr>
          <w:ilvl w:val="0"/>
          <w:numId w:val="1"/>
        </w:numPr>
        <w:autoSpaceDE w:val="0"/>
        <w:autoSpaceDN w:val="0"/>
        <w:adjustRightInd w:val="0"/>
        <w:spacing w:before="120"/>
        <w:rPr>
          <w:rFonts w:cs="Arial"/>
        </w:rPr>
      </w:pPr>
      <w:r w:rsidRPr="00984C09">
        <w:rPr>
          <w:rFonts w:cs="Arial"/>
        </w:rPr>
        <w:t>The ability to utilize standard written English.</w:t>
      </w:r>
    </w:p>
    <w:p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solve practical mathematical problems.</w:t>
      </w:r>
    </w:p>
    <w:p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read, analyze, and interpret information.</w:t>
      </w:r>
    </w:p>
    <w:p w:rsidR="00F94028" w:rsidRPr="00F94028" w:rsidRDefault="000A7728" w:rsidP="00060872">
      <w:pPr>
        <w:pStyle w:val="Heading2"/>
      </w:pPr>
      <w:r>
        <w:t>STUDENT REQUIREMENTS</w:t>
      </w:r>
    </w:p>
    <w:p w:rsidR="00221A4C" w:rsidRPr="00221A4C" w:rsidRDefault="00221A4C" w:rsidP="00221A4C">
      <w:pPr>
        <w:rPr>
          <w:rFonts w:asciiTheme="minorHAnsi" w:hAnsiTheme="minorHAnsi" w:cstheme="minorHAnsi"/>
          <w:b/>
          <w:szCs w:val="24"/>
        </w:rPr>
      </w:pPr>
      <w:r w:rsidRPr="00221A4C">
        <w:rPr>
          <w:rFonts w:asciiTheme="minorHAnsi" w:hAnsiTheme="minorHAnsi" w:cstheme="minorHAnsi"/>
          <w:szCs w:val="24"/>
        </w:rPr>
        <w:t xml:space="preserve">Students are expected to complete all tests and daily assignments.  Tests and assignments must be completed on the specified date.  </w:t>
      </w:r>
    </w:p>
    <w:p w:rsidR="00AA5198" w:rsidRPr="002D02A6" w:rsidRDefault="00AA5198" w:rsidP="00AA5198">
      <w:pPr>
        <w:pStyle w:val="Heading2"/>
        <w:rPr>
          <w:snapToGrid/>
        </w:rPr>
      </w:pPr>
      <w:r>
        <w:rPr>
          <w:snapToGrid/>
        </w:rPr>
        <w:t>COVID-19 MASK REQUIREMENT</w:t>
      </w:r>
    </w:p>
    <w:p w:rsidR="008A4348" w:rsidRPr="005C1DCC" w:rsidRDefault="008A4348" w:rsidP="008A4348">
      <w:pPr>
        <w:pStyle w:val="xmsonormal"/>
      </w:pPr>
      <w:r w:rsidRPr="005C1DCC">
        <w:t xml:space="preserve">Regardless of vaccination status, students are highly encouraged to wear masks or face coverings while in a classroom or lab at Southeastern Technical College.  Masking may be implemented in some program areas (i.e. Health Sciences and Cosmetology) where students, faculty, and clients are in close proximity and social distancing cannot be maintained.  This measure is being implemented to reduce COVID-19 related health risks for everyone engaged in the educational process.  Masks or face coverings must be worn over the nose and mouth, in accordance with the Centers for Disease Control and Prevention (CDC).  </w:t>
      </w:r>
    </w:p>
    <w:p w:rsidR="00AA5198" w:rsidRPr="002D02A6" w:rsidRDefault="00AA5198" w:rsidP="00AA5198">
      <w:pPr>
        <w:pStyle w:val="Heading2"/>
      </w:pPr>
      <w:r w:rsidRPr="002D02A6">
        <w:t>COVID-19</w:t>
      </w:r>
      <w:r>
        <w:t xml:space="preserve"> Signs and symptoms</w:t>
      </w:r>
    </w:p>
    <w:p w:rsidR="00AA5198" w:rsidRPr="00483B0B" w:rsidRDefault="00AA5198" w:rsidP="00AA5198">
      <w:r w:rsidRPr="00483B0B">
        <w:t>We encourage individuals to monitor for the signs and symptoms of COVID-19 prior to coming on campus.</w:t>
      </w:r>
    </w:p>
    <w:p w:rsidR="00AA5198" w:rsidRPr="00483B0B" w:rsidRDefault="00AA5198" w:rsidP="00AA5198"/>
    <w:p w:rsidR="00AA5198" w:rsidRPr="00483B0B" w:rsidRDefault="00AA5198" w:rsidP="00AA5198">
      <w:r w:rsidRPr="00483B0B">
        <w:t>If you have experienced the symptoms listed below or have a body temperature 100.4°F or higher, we encourage you to self-quarantine at home and contact a primary care physician’s office, local urgent care facility, or health department for further direction.  Please notify your instructor(s) by email and do not come on campus for any reason.</w:t>
      </w:r>
    </w:p>
    <w:p w:rsidR="00AA5198" w:rsidRPr="00483B0B" w:rsidRDefault="00AA5198" w:rsidP="00AA5198"/>
    <w:tbl>
      <w:tblPr>
        <w:tblW w:w="6745" w:type="dxa"/>
        <w:tblCellMar>
          <w:left w:w="0" w:type="dxa"/>
          <w:right w:w="0" w:type="dxa"/>
        </w:tblCellMar>
        <w:tblLook w:val="04A0" w:firstRow="1" w:lastRow="0" w:firstColumn="1" w:lastColumn="0" w:noHBand="0" w:noVBand="1"/>
        <w:tblCaption w:val="COVID 19 Symptoms"/>
        <w:tblDescription w:val="List of symptoms for COVID 19."/>
      </w:tblPr>
      <w:tblGrid>
        <w:gridCol w:w="6745"/>
      </w:tblGrid>
      <w:tr w:rsidR="00AA5198" w:rsidRPr="00483B0B" w:rsidTr="00AF1F67">
        <w:trPr>
          <w:cantSplit/>
          <w:tblHeader/>
        </w:trPr>
        <w:tc>
          <w:tcPr>
            <w:tcW w:w="6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5198" w:rsidRPr="00483B0B" w:rsidRDefault="00AA5198" w:rsidP="00AF1F67">
            <w:pPr>
              <w:pStyle w:val="xmsonormal"/>
              <w:jc w:val="center"/>
              <w:rPr>
                <w:rFonts w:asciiTheme="minorHAnsi" w:hAnsiTheme="minorHAnsi" w:cstheme="minorHAnsi"/>
                <w:sz w:val="28"/>
                <w:szCs w:val="28"/>
              </w:rPr>
            </w:pPr>
            <w:r w:rsidRPr="00483B0B">
              <w:rPr>
                <w:rFonts w:asciiTheme="minorHAnsi" w:hAnsiTheme="minorHAnsi" w:cstheme="minorHAnsi"/>
                <w:b/>
                <w:bCs/>
                <w:sz w:val="28"/>
                <w:szCs w:val="28"/>
              </w:rPr>
              <w:lastRenderedPageBreak/>
              <w:t>COVID-19 Key Symptoms</w:t>
            </w:r>
          </w:p>
        </w:tc>
      </w:tr>
      <w:tr w:rsidR="00AA5198" w:rsidRPr="00483B0B" w:rsidTr="00AF1F67">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5198" w:rsidRPr="00AA5198" w:rsidRDefault="00AA5198" w:rsidP="00AF1F67">
            <w:pPr>
              <w:pStyle w:val="xmsonormal"/>
              <w:rPr>
                <w:rFonts w:asciiTheme="minorHAnsi" w:hAnsiTheme="minorHAnsi" w:cstheme="minorHAnsi"/>
                <w:sz w:val="24"/>
                <w:szCs w:val="24"/>
              </w:rPr>
            </w:pPr>
            <w:r w:rsidRPr="00AA5198">
              <w:rPr>
                <w:rFonts w:asciiTheme="minorHAnsi" w:hAnsiTheme="minorHAnsi" w:cstheme="minorHAnsi"/>
                <w:bCs/>
                <w:iCs/>
                <w:sz w:val="24"/>
                <w:szCs w:val="24"/>
              </w:rPr>
              <w:t xml:space="preserve">Fever or felt feverish </w:t>
            </w:r>
          </w:p>
        </w:tc>
      </w:tr>
      <w:tr w:rsidR="00AA5198" w:rsidRPr="00483B0B" w:rsidTr="00AF1F67">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198" w:rsidRPr="00AA5198" w:rsidRDefault="00AA5198" w:rsidP="00AF1F67">
            <w:pPr>
              <w:pStyle w:val="xmsonormal"/>
              <w:rPr>
                <w:rFonts w:asciiTheme="minorHAnsi" w:hAnsiTheme="minorHAnsi" w:cstheme="minorHAnsi"/>
                <w:bCs/>
                <w:iCs/>
                <w:sz w:val="24"/>
                <w:szCs w:val="24"/>
              </w:rPr>
            </w:pPr>
            <w:r w:rsidRPr="00AA5198">
              <w:rPr>
                <w:rFonts w:asciiTheme="minorHAnsi" w:hAnsiTheme="minorHAnsi" w:cstheme="minorHAnsi"/>
                <w:bCs/>
                <w:iCs/>
                <w:sz w:val="24"/>
                <w:szCs w:val="24"/>
              </w:rPr>
              <w:t>Chills</w:t>
            </w:r>
          </w:p>
        </w:tc>
      </w:tr>
      <w:tr w:rsidR="00AA5198" w:rsidRPr="00483B0B" w:rsidTr="00AF1F67">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198" w:rsidRPr="00AA5198" w:rsidRDefault="00AA5198" w:rsidP="00AF1F67">
            <w:pPr>
              <w:pStyle w:val="xmsonormal"/>
              <w:rPr>
                <w:rFonts w:asciiTheme="minorHAnsi" w:hAnsiTheme="minorHAnsi" w:cstheme="minorHAnsi"/>
                <w:bCs/>
                <w:iCs/>
                <w:sz w:val="24"/>
                <w:szCs w:val="24"/>
              </w:rPr>
            </w:pPr>
            <w:r w:rsidRPr="00AA5198">
              <w:rPr>
                <w:rFonts w:asciiTheme="minorHAnsi" w:hAnsiTheme="minorHAnsi" w:cstheme="minorHAnsi"/>
                <w:bCs/>
                <w:iCs/>
                <w:sz w:val="24"/>
                <w:szCs w:val="24"/>
              </w:rPr>
              <w:t>Shortness of breath or difficulty breathing (not attributed to any other health condition)</w:t>
            </w:r>
          </w:p>
        </w:tc>
      </w:tr>
      <w:tr w:rsidR="00AA5198" w:rsidRPr="00483B0B" w:rsidTr="00AF1F67">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198" w:rsidRPr="00AA5198" w:rsidRDefault="00AA5198" w:rsidP="00AF1F67">
            <w:pPr>
              <w:pStyle w:val="xmsonormal"/>
              <w:rPr>
                <w:rFonts w:asciiTheme="minorHAnsi" w:hAnsiTheme="minorHAnsi" w:cstheme="minorHAnsi"/>
                <w:bCs/>
                <w:iCs/>
                <w:sz w:val="24"/>
                <w:szCs w:val="24"/>
              </w:rPr>
            </w:pPr>
            <w:r w:rsidRPr="00AA5198">
              <w:rPr>
                <w:rFonts w:asciiTheme="minorHAnsi" w:hAnsiTheme="minorHAnsi" w:cstheme="minorHAnsi"/>
                <w:bCs/>
                <w:iCs/>
                <w:sz w:val="24"/>
                <w:szCs w:val="24"/>
              </w:rPr>
              <w:t xml:space="preserve">Cough: new or worsening, </w:t>
            </w:r>
            <w:r w:rsidRPr="00AA5198">
              <w:rPr>
                <w:rFonts w:asciiTheme="minorHAnsi" w:hAnsiTheme="minorHAnsi" w:cstheme="minorHAnsi"/>
                <w:bCs/>
                <w:sz w:val="24"/>
                <w:szCs w:val="24"/>
              </w:rPr>
              <w:t>not attributed to another health condition</w:t>
            </w:r>
          </w:p>
        </w:tc>
      </w:tr>
      <w:tr w:rsidR="00AA5198" w:rsidRPr="00483B0B" w:rsidTr="00AF1F67">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198" w:rsidRPr="00AA5198" w:rsidRDefault="00AA5198" w:rsidP="00AF1F67">
            <w:pPr>
              <w:pStyle w:val="xmsonormal"/>
              <w:rPr>
                <w:rFonts w:asciiTheme="minorHAnsi" w:hAnsiTheme="minorHAnsi" w:cstheme="minorHAnsi"/>
                <w:bCs/>
                <w:iCs/>
                <w:sz w:val="24"/>
                <w:szCs w:val="24"/>
              </w:rPr>
            </w:pPr>
            <w:r w:rsidRPr="00AA5198">
              <w:rPr>
                <w:rFonts w:asciiTheme="minorHAnsi" w:hAnsiTheme="minorHAnsi" w:cstheme="minorHAnsi"/>
                <w:bCs/>
                <w:iCs/>
                <w:sz w:val="24"/>
                <w:szCs w:val="24"/>
              </w:rPr>
              <w:t>Fatigue</w:t>
            </w:r>
          </w:p>
        </w:tc>
      </w:tr>
      <w:tr w:rsidR="00AA5198" w:rsidRPr="00483B0B" w:rsidTr="00AF1F67">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198" w:rsidRPr="00AA5198" w:rsidRDefault="00AA5198" w:rsidP="00AF1F67">
            <w:pPr>
              <w:pStyle w:val="xmsonormal"/>
              <w:rPr>
                <w:rFonts w:asciiTheme="minorHAnsi" w:hAnsiTheme="minorHAnsi" w:cstheme="minorHAnsi"/>
                <w:bCs/>
                <w:iCs/>
                <w:sz w:val="24"/>
                <w:szCs w:val="24"/>
              </w:rPr>
            </w:pPr>
            <w:r w:rsidRPr="00AA5198">
              <w:rPr>
                <w:rFonts w:asciiTheme="minorHAnsi" w:hAnsiTheme="minorHAnsi" w:cstheme="minorHAnsi"/>
                <w:bCs/>
                <w:iCs/>
                <w:sz w:val="24"/>
                <w:szCs w:val="24"/>
              </w:rPr>
              <w:t>Muscle or body aches</w:t>
            </w:r>
          </w:p>
        </w:tc>
      </w:tr>
      <w:tr w:rsidR="00AA5198" w:rsidRPr="00483B0B" w:rsidTr="00AF1F67">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198" w:rsidRPr="00AA5198" w:rsidRDefault="00AA5198" w:rsidP="00AF1F67">
            <w:pPr>
              <w:pStyle w:val="xmsonormal"/>
              <w:rPr>
                <w:rFonts w:asciiTheme="minorHAnsi" w:hAnsiTheme="minorHAnsi" w:cstheme="minorHAnsi"/>
                <w:bCs/>
                <w:iCs/>
                <w:sz w:val="24"/>
                <w:szCs w:val="24"/>
              </w:rPr>
            </w:pPr>
            <w:r w:rsidRPr="00AA5198">
              <w:rPr>
                <w:rFonts w:asciiTheme="minorHAnsi" w:hAnsiTheme="minorHAnsi" w:cstheme="minorHAnsi"/>
                <w:bCs/>
                <w:iCs/>
                <w:sz w:val="24"/>
                <w:szCs w:val="24"/>
              </w:rPr>
              <w:t>Headache</w:t>
            </w:r>
          </w:p>
        </w:tc>
      </w:tr>
      <w:tr w:rsidR="00AA5198" w:rsidRPr="00483B0B" w:rsidTr="00AF1F67">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198" w:rsidRPr="00AA5198" w:rsidRDefault="00AA5198" w:rsidP="00AF1F67">
            <w:pPr>
              <w:pStyle w:val="xmsonormal"/>
              <w:rPr>
                <w:rFonts w:asciiTheme="minorHAnsi" w:hAnsiTheme="minorHAnsi" w:cstheme="minorHAnsi"/>
                <w:bCs/>
                <w:iCs/>
                <w:sz w:val="24"/>
                <w:szCs w:val="24"/>
              </w:rPr>
            </w:pPr>
            <w:r w:rsidRPr="00AA5198">
              <w:rPr>
                <w:rFonts w:asciiTheme="minorHAnsi" w:hAnsiTheme="minorHAnsi" w:cstheme="minorHAnsi"/>
                <w:bCs/>
                <w:iCs/>
                <w:sz w:val="24"/>
                <w:szCs w:val="24"/>
              </w:rPr>
              <w:t>New loss of taste or smell</w:t>
            </w:r>
          </w:p>
        </w:tc>
      </w:tr>
      <w:tr w:rsidR="00AA5198" w:rsidRPr="00483B0B" w:rsidTr="00AF1F67">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198" w:rsidRPr="00AA5198" w:rsidRDefault="00AA5198" w:rsidP="00AF1F67">
            <w:pPr>
              <w:pStyle w:val="xmsonormal"/>
              <w:rPr>
                <w:rFonts w:asciiTheme="minorHAnsi" w:hAnsiTheme="minorHAnsi" w:cstheme="minorHAnsi"/>
                <w:bCs/>
                <w:iCs/>
                <w:sz w:val="24"/>
                <w:szCs w:val="24"/>
              </w:rPr>
            </w:pPr>
            <w:r w:rsidRPr="00AA5198">
              <w:rPr>
                <w:rFonts w:asciiTheme="minorHAnsi" w:hAnsiTheme="minorHAnsi" w:cstheme="minorHAnsi"/>
                <w:bCs/>
                <w:iCs/>
                <w:sz w:val="24"/>
                <w:szCs w:val="24"/>
              </w:rPr>
              <w:t>Sore throat (not attributed to any other health condition)</w:t>
            </w:r>
          </w:p>
        </w:tc>
      </w:tr>
      <w:tr w:rsidR="00AA5198" w:rsidRPr="00483B0B" w:rsidTr="00AF1F67">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198" w:rsidRPr="00AA5198" w:rsidRDefault="00AA5198" w:rsidP="00AF1F67">
            <w:pPr>
              <w:pStyle w:val="xmsonormal"/>
              <w:rPr>
                <w:rFonts w:asciiTheme="minorHAnsi" w:hAnsiTheme="minorHAnsi" w:cstheme="minorHAnsi"/>
                <w:bCs/>
                <w:iCs/>
                <w:sz w:val="24"/>
                <w:szCs w:val="24"/>
              </w:rPr>
            </w:pPr>
            <w:r w:rsidRPr="00AA5198">
              <w:rPr>
                <w:rFonts w:asciiTheme="minorHAnsi" w:hAnsiTheme="minorHAnsi" w:cstheme="minorHAnsi"/>
                <w:bCs/>
                <w:iCs/>
                <w:sz w:val="24"/>
                <w:szCs w:val="24"/>
              </w:rPr>
              <w:t>Congestion or runny nose (not attributed to any other health condition)</w:t>
            </w:r>
          </w:p>
        </w:tc>
      </w:tr>
      <w:tr w:rsidR="00AA5198" w:rsidRPr="00483B0B" w:rsidTr="00AF1F67">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198" w:rsidRPr="00AA5198" w:rsidRDefault="00AA5198" w:rsidP="00AF1F67">
            <w:pPr>
              <w:pStyle w:val="xmsonormal"/>
              <w:rPr>
                <w:rFonts w:asciiTheme="minorHAnsi" w:hAnsiTheme="minorHAnsi" w:cstheme="minorHAnsi"/>
                <w:bCs/>
                <w:iCs/>
                <w:sz w:val="24"/>
                <w:szCs w:val="24"/>
              </w:rPr>
            </w:pPr>
            <w:r w:rsidRPr="00AA5198">
              <w:rPr>
                <w:rFonts w:asciiTheme="minorHAnsi" w:hAnsiTheme="minorHAnsi" w:cstheme="minorHAnsi"/>
                <w:bCs/>
                <w:iCs/>
                <w:sz w:val="24"/>
                <w:szCs w:val="24"/>
              </w:rPr>
              <w:t>Nausea or vomiting</w:t>
            </w:r>
          </w:p>
        </w:tc>
      </w:tr>
      <w:tr w:rsidR="00AA5198" w:rsidRPr="00483B0B" w:rsidTr="00AF1F67">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198" w:rsidRPr="00AA5198" w:rsidRDefault="00AA5198" w:rsidP="00AF1F67">
            <w:pPr>
              <w:pStyle w:val="xmsonormal"/>
              <w:rPr>
                <w:rFonts w:asciiTheme="minorHAnsi" w:hAnsiTheme="minorHAnsi" w:cstheme="minorHAnsi"/>
                <w:bCs/>
                <w:iCs/>
                <w:sz w:val="24"/>
                <w:szCs w:val="24"/>
              </w:rPr>
            </w:pPr>
            <w:r w:rsidRPr="00AA5198">
              <w:rPr>
                <w:rFonts w:asciiTheme="minorHAnsi" w:hAnsiTheme="minorHAnsi" w:cstheme="minorHAnsi"/>
                <w:bCs/>
                <w:iCs/>
                <w:sz w:val="24"/>
                <w:szCs w:val="24"/>
              </w:rPr>
              <w:t>Diarrhea</w:t>
            </w:r>
          </w:p>
        </w:tc>
      </w:tr>
      <w:tr w:rsidR="00AA5198" w:rsidRPr="00483B0B" w:rsidTr="00AF1F67">
        <w:tc>
          <w:tcPr>
            <w:tcW w:w="6745"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AA5198" w:rsidRPr="00483B0B" w:rsidRDefault="00AA5198" w:rsidP="00AF1F67">
            <w:pPr>
              <w:pStyle w:val="xmsonormal"/>
              <w:rPr>
                <w:rFonts w:asciiTheme="minorHAnsi" w:hAnsiTheme="minorHAnsi" w:cstheme="minorHAnsi"/>
                <w:sz w:val="24"/>
                <w:szCs w:val="24"/>
              </w:rPr>
            </w:pPr>
          </w:p>
        </w:tc>
      </w:tr>
      <w:tr w:rsidR="00AA5198" w:rsidRPr="00483B0B" w:rsidTr="00AF1F67">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5198" w:rsidRPr="00483B0B" w:rsidRDefault="00AA5198" w:rsidP="00AF1F67">
            <w:pPr>
              <w:pStyle w:val="xmsonormal"/>
              <w:rPr>
                <w:rFonts w:asciiTheme="minorHAnsi" w:hAnsiTheme="minorHAnsi" w:cstheme="minorHAnsi"/>
                <w:sz w:val="24"/>
                <w:szCs w:val="24"/>
              </w:rPr>
            </w:pPr>
            <w:r w:rsidRPr="00483B0B">
              <w:rPr>
                <w:rFonts w:asciiTheme="minorHAnsi" w:hAnsiTheme="minorHAnsi" w:cstheme="minorHAnsi"/>
                <w:b/>
                <w:bCs/>
                <w:sz w:val="24"/>
                <w:szCs w:val="24"/>
              </w:rPr>
              <w:t>In the past 14 days, if you:</w:t>
            </w:r>
          </w:p>
        </w:tc>
      </w:tr>
      <w:tr w:rsidR="00AA5198" w:rsidRPr="00483B0B" w:rsidTr="00AF1F67">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5198" w:rsidRPr="00483B0B" w:rsidRDefault="00AA5198" w:rsidP="00AF1F67">
            <w:pPr>
              <w:pStyle w:val="xmsonormal"/>
              <w:rPr>
                <w:rFonts w:asciiTheme="minorHAnsi" w:hAnsiTheme="minorHAnsi" w:cstheme="minorHAnsi"/>
                <w:sz w:val="24"/>
                <w:szCs w:val="24"/>
              </w:rPr>
            </w:pPr>
            <w:r w:rsidRPr="00483B0B">
              <w:rPr>
                <w:rFonts w:asciiTheme="minorHAnsi" w:hAnsiTheme="minorHAnsi" w:cstheme="minorHAnsi"/>
                <w:sz w:val="24"/>
                <w:szCs w:val="24"/>
              </w:rPr>
              <w:t>Have had close contact with or are caring for an individual diagnosed with COVD-19 at home (not in healthcare setting), please do not come on campus and contact your instructor (s).</w:t>
            </w:r>
          </w:p>
        </w:tc>
      </w:tr>
    </w:tbl>
    <w:p w:rsidR="00AA5198" w:rsidRDefault="00AA5198" w:rsidP="00AA5198">
      <w:pPr>
        <w:pStyle w:val="Heading2"/>
      </w:pPr>
      <w:r>
        <w:t>Covid-19 Self-Reporting Requirement</w:t>
      </w:r>
    </w:p>
    <w:p w:rsidR="00AA5198" w:rsidRPr="00AA5198" w:rsidRDefault="00AA5198" w:rsidP="00AA5198">
      <w:pPr>
        <w:shd w:val="clear" w:color="auto" w:fill="FFFFFF"/>
      </w:pPr>
      <w:r w:rsidRPr="00AA5198">
        <w:rPr>
          <w:bdr w:val="none" w:sz="0" w:space="0" w:color="auto" w:frame="1"/>
        </w:rPr>
        <w:t xml:space="preserve">Students, regardless of vaccination status, who test positive for COVID-19 or who have been exposed to a COVID-19 positive person, are required to self-report using </w:t>
      </w:r>
      <w:hyperlink r:id="rId17" w:tooltip="COVID 19 Self Reporting Form" w:history="1">
        <w:r w:rsidRPr="00AA5198">
          <w:rPr>
            <w:rStyle w:val="Hyperlink"/>
            <w:color w:val="auto"/>
          </w:rPr>
          <w:t>https://www.southeasterntech.edu/covid-19/</w:t>
        </w:r>
      </w:hyperlink>
      <w:r w:rsidRPr="00AA5198">
        <w:t xml:space="preserve">.  </w:t>
      </w:r>
      <w:r w:rsidRPr="00AA5198">
        <w:rPr>
          <w:bdr w:val="none" w:sz="0" w:space="0" w:color="auto" w:frame="1"/>
        </w:rPr>
        <w:t xml:space="preserve">Report all positive cases of COVID-19 to your instructor and </w:t>
      </w:r>
      <w:hyperlink r:id="rId18" w:tooltip="swaters@southeasterntech.edu" w:history="1">
        <w:r w:rsidRPr="00AA5198">
          <w:rPr>
            <w:rStyle w:val="Hyperlink"/>
            <w:color w:val="auto"/>
            <w:bdr w:val="none" w:sz="0" w:space="0" w:color="auto" w:frame="1"/>
          </w:rPr>
          <w:t>Stephannie Waters</w:t>
        </w:r>
      </w:hyperlink>
      <w:r w:rsidRPr="00AA5198">
        <w:rPr>
          <w:bdr w:val="none" w:sz="0" w:space="0" w:color="auto" w:frame="1"/>
        </w:rPr>
        <w:t xml:space="preserve">, Exposure Control Coordinator, </w:t>
      </w:r>
      <w:hyperlink r:id="rId19" w:tgtFrame="_blank" w:tooltip="Email for Stephannie Waters" w:history="1">
        <w:r w:rsidRPr="00AA5198">
          <w:rPr>
            <w:rStyle w:val="Hyperlink"/>
            <w:color w:val="auto"/>
            <w:bdr w:val="none" w:sz="0" w:space="0" w:color="auto" w:frame="1"/>
          </w:rPr>
          <w:t>swaters@southeasterntech.edu</w:t>
        </w:r>
      </w:hyperlink>
      <w:r w:rsidRPr="00AA5198">
        <w:rPr>
          <w:bdr w:val="none" w:sz="0" w:space="0" w:color="auto" w:frame="1"/>
        </w:rPr>
        <w:t>, 912-538-3195.</w:t>
      </w:r>
    </w:p>
    <w:p w:rsidR="00D31968" w:rsidRDefault="00D31968" w:rsidP="00D31968">
      <w:pPr>
        <w:pStyle w:val="Heading2"/>
        <w:rPr>
          <w:snapToGrid/>
        </w:rPr>
      </w:pPr>
      <w:r>
        <w:t>ATTENDANCE GUIDELINES COMMERCIAL TRUCK DRIVING</w:t>
      </w:r>
    </w:p>
    <w:p w:rsidR="00D31968" w:rsidRDefault="00D31968" w:rsidP="00D31968">
      <w:pPr>
        <w:rPr>
          <w:rFonts w:cs="Arial"/>
          <w:color w:val="000000" w:themeColor="text1"/>
        </w:rPr>
      </w:pPr>
      <w:r>
        <w:rPr>
          <w:rFonts w:cs="Arial"/>
          <w:color w:val="000000" w:themeColor="text1"/>
        </w:rPr>
        <w:t>Class attendance is a very important aspect of a student's success.  Being absent from class prevents students from receiving the full benefit of a course and also interrupts the learning process.  Southeastern Technical College considers both tardiness and leaving early as types of absenteeism.  Responsibility for class attendance rests with the student. Regular and punctual attendance at all scheduled classes is required for student success.  Students will be expected to complete all work required by the instructor as described in the individual course syllabus.</w:t>
      </w:r>
    </w:p>
    <w:p w:rsidR="00D31968" w:rsidRDefault="00D31968" w:rsidP="00D31968">
      <w:pPr>
        <w:rPr>
          <w:rFonts w:cs="Arial"/>
          <w:color w:val="000000" w:themeColor="text1"/>
        </w:rPr>
      </w:pPr>
    </w:p>
    <w:p w:rsidR="00D31968" w:rsidRDefault="00D31968" w:rsidP="00D31968">
      <w:pPr>
        <w:rPr>
          <w:rFonts w:cs="Arial"/>
          <w:color w:val="000000" w:themeColor="text1"/>
        </w:rPr>
      </w:pPr>
      <w:r>
        <w:rPr>
          <w:rFonts w:cs="Arial"/>
          <w:color w:val="000000" w:themeColor="text1"/>
        </w:rPr>
        <w:t>Instructors have the right to give unannounced quizzes/assignments.  Students who miss an unannounced quiz or assignment will receive a grade of 0.  Students who stop attending class, but do not formally withdraw, may receive a grade of “F” (Failing 0–59) and face financial aid repercussions in upcoming semesters.</w:t>
      </w:r>
    </w:p>
    <w:p w:rsidR="00D31968" w:rsidRDefault="00D31968" w:rsidP="00D31968">
      <w:pPr>
        <w:rPr>
          <w:rFonts w:cs="Arial"/>
          <w:color w:val="000000" w:themeColor="text1"/>
        </w:rPr>
      </w:pPr>
    </w:p>
    <w:p w:rsidR="00D31968" w:rsidRDefault="00D31968" w:rsidP="00D31968">
      <w:pPr>
        <w:rPr>
          <w:rFonts w:cs="Arial"/>
          <w:color w:val="000000" w:themeColor="text1"/>
        </w:rPr>
      </w:pPr>
      <w:r>
        <w:rPr>
          <w:rFonts w:cs="Arial"/>
          <w:color w:val="000000" w:themeColor="text1"/>
        </w:rPr>
        <w:t>Instructors are responsible for determining whether missed work may be made up and the content and dates for makeup work is at the discretion of the instructor.</w:t>
      </w:r>
    </w:p>
    <w:p w:rsidR="00D31968" w:rsidRDefault="00D31968" w:rsidP="00D31968">
      <w:pPr>
        <w:spacing w:after="100"/>
        <w:rPr>
          <w:rFonts w:cs="Arial"/>
          <w:color w:val="000000" w:themeColor="text1"/>
        </w:rPr>
      </w:pPr>
    </w:p>
    <w:p w:rsidR="00D31968" w:rsidRDefault="00D31968" w:rsidP="00D31968">
      <w:pPr>
        <w:spacing w:after="100"/>
        <w:rPr>
          <w:rFonts w:cs="Arial"/>
          <w:color w:val="000000" w:themeColor="text1"/>
        </w:rPr>
      </w:pPr>
      <w:r>
        <w:rPr>
          <w:rFonts w:cs="Arial"/>
          <w:color w:val="000000" w:themeColor="text1"/>
        </w:rPr>
        <w:t xml:space="preserve">Attendance is counted from the first scheduled class meeting of each semester/term. To receive credit for a course a student must attend at least 90% of the scheduled instructional time. All work missed due to tardiness or absences must be made up at the convenience of the instructor.  Any student attending less than the required scheduled instructional time (90%) may be dropped from the course/CTDL program as stated </w:t>
      </w:r>
      <w:r>
        <w:rPr>
          <w:rFonts w:cs="Arial"/>
          <w:color w:val="000000" w:themeColor="text1"/>
        </w:rPr>
        <w:lastRenderedPageBreak/>
        <w:t>below in the Withdrawal Procedure.</w:t>
      </w:r>
    </w:p>
    <w:p w:rsidR="00D31968" w:rsidRDefault="00D31968" w:rsidP="00D31968">
      <w:pPr>
        <w:spacing w:after="100"/>
        <w:rPr>
          <w:rFonts w:cs="Arial"/>
          <w:color w:val="000000" w:themeColor="text1"/>
        </w:rPr>
      </w:pPr>
      <w:r>
        <w:rPr>
          <w:rFonts w:cs="Arial"/>
          <w:color w:val="000000" w:themeColor="text1"/>
        </w:rPr>
        <w:t xml:space="preserve">Tardy means arriving after the scheduled time for instruction to begin. Early departure means leaving before the end of the scheduled time. Three (3) </w:t>
      </w:r>
      <w:proofErr w:type="spellStart"/>
      <w:r>
        <w:rPr>
          <w:rFonts w:cs="Arial"/>
          <w:color w:val="000000" w:themeColor="text1"/>
        </w:rPr>
        <w:t>tardies</w:t>
      </w:r>
      <w:proofErr w:type="spellEnd"/>
      <w:r>
        <w:rPr>
          <w:rFonts w:cs="Arial"/>
          <w:color w:val="000000" w:themeColor="text1"/>
        </w:rPr>
        <w:t xml:space="preserve"> or early departures equal one (1) absence for the course/CTDL program.</w:t>
      </w:r>
    </w:p>
    <w:p w:rsidR="00D31968" w:rsidRDefault="00D31968" w:rsidP="00D31968">
      <w:pPr>
        <w:spacing w:after="100"/>
        <w:rPr>
          <w:b/>
          <w:color w:val="000000" w:themeColor="text1"/>
        </w:rPr>
      </w:pPr>
      <w:r>
        <w:rPr>
          <w:b/>
          <w:color w:val="000000" w:themeColor="text1"/>
        </w:rPr>
        <w:t xml:space="preserve">For this day program, which meets 4 days a week for 7.5 weeks, the maximum number of days a student may miss is 3 days during the term. </w:t>
      </w:r>
    </w:p>
    <w:p w:rsidR="00D31968" w:rsidRDefault="00D31968" w:rsidP="00D31968">
      <w:pPr>
        <w:spacing w:after="100"/>
        <w:rPr>
          <w:b/>
          <w:color w:val="000000" w:themeColor="text1"/>
        </w:rPr>
      </w:pPr>
      <w:r>
        <w:rPr>
          <w:b/>
          <w:color w:val="000000" w:themeColor="text1"/>
        </w:rPr>
        <w:t xml:space="preserve">For this night program, which meets 5 days a week for 7.5 weeks, the maximum number of days a student may miss is 3 days during the term. </w:t>
      </w:r>
    </w:p>
    <w:p w:rsidR="00F94028" w:rsidRPr="00A32C53" w:rsidRDefault="00BF4020" w:rsidP="00060872">
      <w:pPr>
        <w:pStyle w:val="Heading2"/>
      </w:pPr>
      <w:r w:rsidRPr="00A32C53">
        <w:t>STUD</w:t>
      </w:r>
      <w:r w:rsidR="00382C6B" w:rsidRPr="00A32C53">
        <w:t>ENTS WITH DISABILITIES</w:t>
      </w:r>
    </w:p>
    <w:p w:rsidR="00D00A17" w:rsidRPr="00A32C53" w:rsidRDefault="00D00A17" w:rsidP="00D00A17">
      <w:pPr>
        <w:rPr>
          <w:rFonts w:cs="Arial"/>
        </w:rPr>
      </w:pPr>
      <w:r w:rsidRPr="00A32C53">
        <w:rPr>
          <w:rFonts w:cs="Arial"/>
        </w:rPr>
        <w:t>Students with disabilities who believe that they may need accommodations in this class based on the impact of a disability are encouraged to contact the appropriate campus coordinator to request services.</w:t>
      </w:r>
    </w:p>
    <w:p w:rsidR="00AA5198" w:rsidRDefault="00AA5198" w:rsidP="00D00A17">
      <w:pPr>
        <w:rPr>
          <w:rFonts w:cs="Arial"/>
        </w:rPr>
      </w:pPr>
    </w:p>
    <w:p w:rsidR="0004129E" w:rsidRPr="0004129E" w:rsidRDefault="0004129E" w:rsidP="0004129E">
      <w:pPr>
        <w:rPr>
          <w:iCs/>
          <w:snapToGrid/>
        </w:rPr>
      </w:pPr>
      <w:bookmarkStart w:id="3" w:name="_Hlk123643201"/>
      <w:r w:rsidRPr="0004129E">
        <w:rPr>
          <w:rFonts w:cs="Arial"/>
        </w:rPr>
        <w:t xml:space="preserve">Swainsboro Campus:  </w:t>
      </w:r>
      <w:hyperlink r:id="rId20" w:history="1">
        <w:r w:rsidRPr="00442538">
          <w:rPr>
            <w:rStyle w:val="Hyperlink"/>
            <w:color w:val="000000" w:themeColor="text1"/>
            <w:szCs w:val="24"/>
          </w:rPr>
          <w:t>Emily Jarrell</w:t>
        </w:r>
      </w:hyperlink>
      <w:r w:rsidRPr="00442538">
        <w:rPr>
          <w:color w:val="000000" w:themeColor="text1"/>
          <w:szCs w:val="24"/>
        </w:rPr>
        <w:t xml:space="preserve"> </w:t>
      </w:r>
      <w:hyperlink r:id="rId21" w:tooltip="Email Address for Emily Jarrell" w:history="1">
        <w:r w:rsidRPr="00442538">
          <w:rPr>
            <w:color w:val="000000" w:themeColor="text1"/>
            <w:szCs w:val="24"/>
            <w:u w:val="single"/>
          </w:rPr>
          <w:t>(ejarrell@southeasterntech.edu)</w:t>
        </w:r>
      </w:hyperlink>
      <w:r w:rsidRPr="00442538">
        <w:rPr>
          <w:color w:val="000000" w:themeColor="text1"/>
          <w:szCs w:val="24"/>
        </w:rPr>
        <w:t>, 478-289-2259</w:t>
      </w:r>
      <w:r w:rsidRPr="00442538">
        <w:rPr>
          <w:rFonts w:cs="Arial"/>
          <w:color w:val="000000" w:themeColor="text1"/>
        </w:rPr>
        <w:t xml:space="preserve">, </w:t>
      </w:r>
      <w:r w:rsidRPr="0004129E">
        <w:rPr>
          <w:rFonts w:cs="Arial"/>
        </w:rPr>
        <w:t>Building 1, Room 1210.</w:t>
      </w:r>
    </w:p>
    <w:p w:rsidR="00D00A17" w:rsidRPr="0004129E" w:rsidRDefault="00D00A17" w:rsidP="00D00A17">
      <w:pPr>
        <w:rPr>
          <w:iCs/>
          <w:snapToGrid/>
        </w:rPr>
      </w:pPr>
      <w:r w:rsidRPr="0004129E">
        <w:rPr>
          <w:rFonts w:cs="Arial"/>
        </w:rPr>
        <w:t xml:space="preserve">Vidalia Campus:  </w:t>
      </w:r>
      <w:hyperlink r:id="rId22" w:tooltip="hthomas@southeasterntech.edu" w:history="1">
        <w:r w:rsidRPr="0004129E">
          <w:rPr>
            <w:rStyle w:val="Hyperlink"/>
            <w:color w:val="auto"/>
          </w:rPr>
          <w:t>Helen Thomas</w:t>
        </w:r>
      </w:hyperlink>
      <w:r w:rsidRPr="0004129E">
        <w:rPr>
          <w:rFonts w:cs="Arial"/>
        </w:rPr>
        <w:t xml:space="preserve"> </w:t>
      </w:r>
      <w:r w:rsidRPr="0004129E">
        <w:rPr>
          <w:rStyle w:val="Hyperlink"/>
          <w:color w:val="auto"/>
        </w:rPr>
        <w:t>(</w:t>
      </w:r>
      <w:hyperlink r:id="rId23" w:tooltip="Email Address for Helen Thomas" w:history="1">
        <w:r w:rsidRPr="0004129E">
          <w:rPr>
            <w:rStyle w:val="Hyperlink"/>
            <w:color w:val="auto"/>
          </w:rPr>
          <w:t>hthomas@southeasterntech.edu</w:t>
        </w:r>
      </w:hyperlink>
      <w:r w:rsidRPr="0004129E">
        <w:rPr>
          <w:rStyle w:val="Hyperlink"/>
          <w:color w:val="auto"/>
        </w:rPr>
        <w:t>)</w:t>
      </w:r>
      <w:r w:rsidRPr="0004129E">
        <w:rPr>
          <w:rFonts w:cs="Arial"/>
        </w:rPr>
        <w:t>, 912-538-3126, Building A, Room 165</w:t>
      </w:r>
      <w:r w:rsidR="002D1488" w:rsidRPr="0004129E">
        <w:rPr>
          <w:rFonts w:cs="Arial"/>
        </w:rPr>
        <w:t>.</w:t>
      </w:r>
    </w:p>
    <w:bookmarkEnd w:id="3"/>
    <w:p w:rsidR="00412DAD" w:rsidRPr="00552118" w:rsidRDefault="00412DAD" w:rsidP="00060872">
      <w:pPr>
        <w:pStyle w:val="Heading2"/>
      </w:pPr>
      <w:r w:rsidRPr="0004129E">
        <w:rPr>
          <w:rStyle w:val="Heading2Char"/>
          <w:b/>
          <w:caps/>
        </w:rPr>
        <w:t>Specific</w:t>
      </w:r>
      <w:r w:rsidRPr="0004129E">
        <w:rPr>
          <w:rStyle w:val="Heading2Char"/>
          <w:b/>
        </w:rPr>
        <w:t xml:space="preserve"> </w:t>
      </w:r>
      <w:r w:rsidRPr="0004129E">
        <w:rPr>
          <w:rStyle w:val="Heading2Char"/>
          <w:b/>
          <w:caps/>
          <w:snapToGrid w:val="0"/>
        </w:rPr>
        <w:t>Absences</w:t>
      </w:r>
    </w:p>
    <w:p w:rsidR="00412DAD" w:rsidRDefault="00412DAD" w:rsidP="00412DAD">
      <w:pPr>
        <w:rPr>
          <w:rFonts w:cs="Arial"/>
        </w:rPr>
      </w:pPr>
      <w:r>
        <w:rPr>
          <w:rFonts w:cs="Arial"/>
        </w:rPr>
        <w:t>Provisions for Instructional Time missed because of documented absences due to jury duty, military duty, court duty, or required job training will be made at the discretion of the instructor.</w:t>
      </w:r>
    </w:p>
    <w:p w:rsidR="00F749DC" w:rsidRPr="00A32C53" w:rsidRDefault="00F819B0" w:rsidP="00060872">
      <w:pPr>
        <w:pStyle w:val="Heading2"/>
        <w:rPr>
          <w:bCs/>
        </w:rPr>
      </w:pPr>
      <w:r w:rsidRPr="00A32C53">
        <w:rPr>
          <w:rStyle w:val="Heading2Char"/>
          <w:b/>
        </w:rPr>
        <w:t>PREGNANCY</w:t>
      </w:r>
    </w:p>
    <w:p w:rsidR="00D00A17" w:rsidRPr="00A32C53" w:rsidRDefault="00D00A17" w:rsidP="00D00A17">
      <w:pPr>
        <w:rPr>
          <w:rFonts w:cs="Arial"/>
        </w:rPr>
      </w:pPr>
      <w:r w:rsidRPr="00A32C53">
        <w:rPr>
          <w:rFonts w:cs="Arial"/>
        </w:rPr>
        <w:t xml:space="preserve">Southeastern Technical College does not discriminate on the basis of pregnancy. However, we can offer accommodations to students who are pregnant that need special consideration to successfully complete the course. If you think you will need accommodations due to pregnancy, please </w:t>
      </w:r>
      <w:proofErr w:type="gramStart"/>
      <w:r w:rsidRPr="00A32C53">
        <w:rPr>
          <w:rFonts w:cs="Arial"/>
        </w:rPr>
        <w:t>make arrangements</w:t>
      </w:r>
      <w:proofErr w:type="gramEnd"/>
      <w:r w:rsidRPr="00A32C53">
        <w:rPr>
          <w:rFonts w:cs="Arial"/>
        </w:rPr>
        <w:t xml:space="preserve"> with the appropriate campus coordinator.</w:t>
      </w:r>
    </w:p>
    <w:p w:rsidR="00D00A17" w:rsidRPr="00A32C53" w:rsidRDefault="00D00A17" w:rsidP="00D00A17">
      <w:pPr>
        <w:rPr>
          <w:rFonts w:cs="Arial"/>
        </w:rPr>
      </w:pPr>
      <w:r w:rsidRPr="00A32C53">
        <w:rPr>
          <w:rFonts w:cs="Arial"/>
        </w:rPr>
        <w:t xml:space="preserve"> </w:t>
      </w:r>
    </w:p>
    <w:p w:rsidR="0004129E" w:rsidRPr="0004129E" w:rsidRDefault="0004129E" w:rsidP="0004129E">
      <w:pPr>
        <w:rPr>
          <w:iCs/>
          <w:snapToGrid/>
        </w:rPr>
      </w:pPr>
      <w:r w:rsidRPr="0004129E">
        <w:rPr>
          <w:rFonts w:cs="Arial"/>
        </w:rPr>
        <w:t xml:space="preserve">Swainsboro Campus:  </w:t>
      </w:r>
      <w:hyperlink r:id="rId24" w:history="1">
        <w:r w:rsidRPr="00442538">
          <w:rPr>
            <w:rStyle w:val="Hyperlink"/>
            <w:color w:val="000000" w:themeColor="text1"/>
            <w:szCs w:val="24"/>
          </w:rPr>
          <w:t>Emily Jarrell</w:t>
        </w:r>
      </w:hyperlink>
      <w:r w:rsidRPr="00442538">
        <w:rPr>
          <w:color w:val="000000" w:themeColor="text1"/>
          <w:szCs w:val="24"/>
        </w:rPr>
        <w:t xml:space="preserve"> </w:t>
      </w:r>
      <w:hyperlink r:id="rId25" w:tooltip="Email Address for Emily Jarrell" w:history="1">
        <w:r w:rsidRPr="00442538">
          <w:rPr>
            <w:color w:val="000000" w:themeColor="text1"/>
            <w:szCs w:val="24"/>
            <w:u w:val="single"/>
          </w:rPr>
          <w:t>(ejarrell@southeasterntech.edu)</w:t>
        </w:r>
      </w:hyperlink>
      <w:r w:rsidRPr="00442538">
        <w:rPr>
          <w:color w:val="000000" w:themeColor="text1"/>
          <w:szCs w:val="24"/>
        </w:rPr>
        <w:t>, 478-289-2259</w:t>
      </w:r>
      <w:r w:rsidRPr="00442538">
        <w:rPr>
          <w:rFonts w:cs="Arial"/>
          <w:color w:val="000000" w:themeColor="text1"/>
        </w:rPr>
        <w:t xml:space="preserve">, </w:t>
      </w:r>
      <w:r w:rsidRPr="0004129E">
        <w:rPr>
          <w:rFonts w:cs="Arial"/>
        </w:rPr>
        <w:t>Building 1, Room 1210.</w:t>
      </w:r>
    </w:p>
    <w:p w:rsidR="0004129E" w:rsidRPr="0004129E" w:rsidRDefault="0004129E" w:rsidP="0004129E">
      <w:pPr>
        <w:rPr>
          <w:iCs/>
          <w:snapToGrid/>
        </w:rPr>
      </w:pPr>
      <w:r w:rsidRPr="0004129E">
        <w:rPr>
          <w:rFonts w:cs="Arial"/>
        </w:rPr>
        <w:t xml:space="preserve">Vidalia Campus:  </w:t>
      </w:r>
      <w:hyperlink r:id="rId26" w:tooltip="hthomas@southeasterntech.edu" w:history="1">
        <w:r w:rsidRPr="0004129E">
          <w:rPr>
            <w:rStyle w:val="Hyperlink"/>
            <w:color w:val="auto"/>
          </w:rPr>
          <w:t>Helen Thomas</w:t>
        </w:r>
      </w:hyperlink>
      <w:r w:rsidRPr="0004129E">
        <w:rPr>
          <w:rFonts w:cs="Arial"/>
        </w:rPr>
        <w:t xml:space="preserve"> </w:t>
      </w:r>
      <w:r w:rsidRPr="0004129E">
        <w:rPr>
          <w:rStyle w:val="Hyperlink"/>
          <w:color w:val="auto"/>
        </w:rPr>
        <w:t>(</w:t>
      </w:r>
      <w:hyperlink r:id="rId27" w:tooltip="Email Address for Helen Thomas" w:history="1">
        <w:r w:rsidRPr="0004129E">
          <w:rPr>
            <w:rStyle w:val="Hyperlink"/>
            <w:color w:val="auto"/>
          </w:rPr>
          <w:t>hthomas@southeasterntech.edu</w:t>
        </w:r>
      </w:hyperlink>
      <w:r w:rsidRPr="0004129E">
        <w:rPr>
          <w:rStyle w:val="Hyperlink"/>
          <w:color w:val="auto"/>
        </w:rPr>
        <w:t>)</w:t>
      </w:r>
      <w:r w:rsidRPr="0004129E">
        <w:rPr>
          <w:rFonts w:cs="Arial"/>
        </w:rPr>
        <w:t>, 912-538-3126, Building A, Room 165.</w:t>
      </w:r>
    </w:p>
    <w:p w:rsidR="00D00A17" w:rsidRPr="008F797A" w:rsidRDefault="00D00A17" w:rsidP="00D00A17">
      <w:pPr>
        <w:rPr>
          <w:rFonts w:cs="Arial"/>
        </w:rPr>
      </w:pPr>
    </w:p>
    <w:p w:rsidR="00D00A17" w:rsidRPr="008F797A" w:rsidRDefault="00D00A17" w:rsidP="00D00A17">
      <w:pPr>
        <w:rPr>
          <w:iCs/>
          <w:snapToGrid/>
        </w:rPr>
      </w:pPr>
      <w:r w:rsidRPr="008F797A">
        <w:rPr>
          <w:rFonts w:cs="Arial"/>
        </w:rPr>
        <w:t xml:space="preserve">It is strongly encouraged that requests for consideration be made </w:t>
      </w:r>
      <w:r w:rsidRPr="008F797A">
        <w:rPr>
          <w:rFonts w:cs="Arial"/>
          <w:b/>
        </w:rPr>
        <w:t>PRIOR</w:t>
      </w:r>
      <w:r w:rsidRPr="008F797A">
        <w:rPr>
          <w:rFonts w:cs="Arial"/>
        </w:rPr>
        <w:t xml:space="preserve"> to delivery and early enough in the pregnancy to ensure that all the required documentation is secured before the absence occurs. Requests made after delivery MAY NOT be accommodated. The coordinator will contact your instructor to discuss accommodations when all required documentation has been received. The instructor will then discuss a plan with you to make up missed assignments.</w:t>
      </w:r>
    </w:p>
    <w:p w:rsidR="00C25A85" w:rsidRDefault="00C25A85" w:rsidP="00C25A85">
      <w:pPr>
        <w:pStyle w:val="Heading2"/>
        <w:rPr>
          <w:rFonts w:eastAsia="Times New Roman"/>
        </w:rPr>
      </w:pPr>
      <w:r w:rsidRPr="00D16BCA">
        <w:rPr>
          <w:rFonts w:eastAsia="Times New Roman"/>
        </w:rPr>
        <w:t>Withdrawal Procedure</w:t>
      </w:r>
    </w:p>
    <w:p w:rsidR="00C25A85" w:rsidRPr="00C22189" w:rsidRDefault="00C25A85" w:rsidP="00C25A85">
      <w:pPr>
        <w:rPr>
          <w:szCs w:val="24"/>
        </w:rPr>
      </w:pPr>
      <w:r w:rsidRPr="00C22189">
        <w:rPr>
          <w:szCs w:val="24"/>
        </w:rPr>
        <w:t xml:space="preserve">Students wishing to officially withdraw from a course(s) or all courses after the drop/add period and prior to the 65% point of the term in which student is enrolled (date will be posted on the school calendar) must speak with a Career Counselor in Student Affairs and complete a Student Withdrawal Form. A grade of “W” (Withdrawn) is assigned for the course(s) when the student completes the withdrawal form. </w:t>
      </w:r>
    </w:p>
    <w:p w:rsidR="00C25A85" w:rsidRDefault="00C25A85" w:rsidP="00C25A85">
      <w:pPr>
        <w:rPr>
          <w:szCs w:val="24"/>
        </w:rPr>
      </w:pPr>
      <w:r w:rsidRPr="00C22189">
        <w:rPr>
          <w:szCs w:val="24"/>
        </w:rPr>
        <w:t xml:space="preserve">Students who are dropped from courses due to attendance after drop/add until the 65% point of the semester will receive a “W” for the course. </w:t>
      </w:r>
    </w:p>
    <w:p w:rsidR="00C25A85" w:rsidRPr="00C22189" w:rsidRDefault="00C25A85" w:rsidP="00C25A85">
      <w:pPr>
        <w:rPr>
          <w:szCs w:val="24"/>
        </w:rPr>
      </w:pPr>
    </w:p>
    <w:p w:rsidR="00C25A85" w:rsidRDefault="00C25A85" w:rsidP="00C25A85">
      <w:pPr>
        <w:rPr>
          <w:szCs w:val="24"/>
        </w:rPr>
      </w:pPr>
      <w:r w:rsidRPr="00C22189">
        <w:rPr>
          <w:szCs w:val="24"/>
        </w:rPr>
        <w:t xml:space="preserve">Important – Student-initiated withdrawals are not allowed after the 65% point.  Only instructors can drop students after the 65% point for violating the attendance procedure of the course.  Students who are dropped from courses due to attendance after the 65% point will receive either a “WP” (Withdrawn Passing) or “WF” </w:t>
      </w:r>
      <w:r w:rsidRPr="00C22189">
        <w:rPr>
          <w:szCs w:val="24"/>
        </w:rPr>
        <w:lastRenderedPageBreak/>
        <w:t>(Withdrawn Failing) for the semester.</w:t>
      </w:r>
    </w:p>
    <w:p w:rsidR="00C25A85" w:rsidRPr="00C22189" w:rsidRDefault="00C25A85" w:rsidP="00C25A85">
      <w:pPr>
        <w:rPr>
          <w:b/>
          <w:szCs w:val="24"/>
        </w:rPr>
      </w:pPr>
      <w:r w:rsidRPr="00C22189">
        <w:rPr>
          <w:szCs w:val="24"/>
        </w:rPr>
        <w:t xml:space="preserve">  </w:t>
      </w:r>
    </w:p>
    <w:p w:rsidR="00C25A85" w:rsidRDefault="00C25A85" w:rsidP="00C25A85">
      <w:pPr>
        <w:rPr>
          <w:szCs w:val="24"/>
        </w:rPr>
      </w:pPr>
      <w:r w:rsidRPr="00C22189">
        <w:rPr>
          <w:szCs w:val="24"/>
        </w:rPr>
        <w:t>Informing your instructor that you will not return to his/her course, does not satisfy the approved withdrawal procedure outlined above.</w:t>
      </w:r>
    </w:p>
    <w:p w:rsidR="00C25A85" w:rsidRPr="00C22189" w:rsidRDefault="00C25A85" w:rsidP="00C25A85">
      <w:pPr>
        <w:rPr>
          <w:szCs w:val="24"/>
        </w:rPr>
      </w:pPr>
    </w:p>
    <w:p w:rsidR="00C25A85" w:rsidRDefault="00C25A85" w:rsidP="00C25A85">
      <w:pPr>
        <w:rPr>
          <w:szCs w:val="24"/>
        </w:rPr>
      </w:pPr>
      <w:r w:rsidRPr="00C22189">
        <w:rPr>
          <w:szCs w:val="24"/>
        </w:rPr>
        <w:t>There is no refund for partial reduction of hours. Withdrawals may affect students’ eligibility for financial aid for the current semester and in the future, so a student must also speak with a representative of the Financial Aid Office to determine any financial penalties that may be accessed due to the withdrawal. A grade of “W” will count in attempted hour calculations for the purpose of Financial Aid.</w:t>
      </w:r>
    </w:p>
    <w:p w:rsidR="00C25A85" w:rsidRDefault="00C25A85" w:rsidP="00C25A85">
      <w:pPr>
        <w:rPr>
          <w:szCs w:val="24"/>
        </w:rPr>
      </w:pPr>
    </w:p>
    <w:p w:rsidR="00C25A85" w:rsidRPr="005C1DCC" w:rsidRDefault="00C25A85" w:rsidP="00C25A85">
      <w:pPr>
        <w:rPr>
          <w:szCs w:val="24"/>
        </w:rPr>
      </w:pPr>
      <w:r w:rsidRPr="005C1DCC">
        <w:rPr>
          <w:szCs w:val="24"/>
        </w:rPr>
        <w:t xml:space="preserve">Note:  Students are responsible for all costs incurred due to self-withdrawals, administrative withdrawals, and D- or F-Grades. In the case of CTDL 1010, the same criteria </w:t>
      </w:r>
      <w:proofErr w:type="gramStart"/>
      <w:r w:rsidR="00A360A1" w:rsidRPr="005C1DCC">
        <w:rPr>
          <w:szCs w:val="24"/>
        </w:rPr>
        <w:t>applies</w:t>
      </w:r>
      <w:proofErr w:type="gramEnd"/>
      <w:r w:rsidRPr="005C1DCC">
        <w:rPr>
          <w:szCs w:val="24"/>
        </w:rPr>
        <w:t xml:space="preserve"> </w:t>
      </w:r>
      <w:r w:rsidR="000C37BA" w:rsidRPr="005C1DCC">
        <w:rPr>
          <w:szCs w:val="24"/>
        </w:rPr>
        <w:t>to</w:t>
      </w:r>
      <w:r w:rsidR="004324DA" w:rsidRPr="005C1DCC">
        <w:rPr>
          <w:szCs w:val="24"/>
        </w:rPr>
        <w:t xml:space="preserve"> a </w:t>
      </w:r>
      <w:r w:rsidR="00A360A1" w:rsidRPr="005C1DCC">
        <w:rPr>
          <w:szCs w:val="24"/>
        </w:rPr>
        <w:t>student earning a</w:t>
      </w:r>
      <w:r w:rsidRPr="005C1DCC">
        <w:rPr>
          <w:szCs w:val="24"/>
        </w:rPr>
        <w:t xml:space="preserve"> C-Grade</w:t>
      </w:r>
      <w:r w:rsidR="00A360A1" w:rsidRPr="005C1DCC">
        <w:rPr>
          <w:szCs w:val="24"/>
        </w:rPr>
        <w:t>.</w:t>
      </w:r>
      <w:r w:rsidRPr="005C1DCC">
        <w:rPr>
          <w:szCs w:val="24"/>
        </w:rPr>
        <w:t xml:space="preserve"> </w:t>
      </w:r>
      <w:r w:rsidR="00A360A1" w:rsidRPr="005C1DCC">
        <w:rPr>
          <w:szCs w:val="24"/>
        </w:rPr>
        <w:t>Federal regulations require a B or higher in CTDL 1010.</w:t>
      </w:r>
    </w:p>
    <w:p w:rsidR="00F749DC" w:rsidRDefault="002B57DB" w:rsidP="00060872">
      <w:pPr>
        <w:pStyle w:val="Heading2"/>
      </w:pPr>
      <w:r w:rsidRPr="00F819B0">
        <w:rPr>
          <w:rStyle w:val="Heading2Char"/>
          <w:b/>
        </w:rPr>
        <w:t xml:space="preserve">MAKEUP </w:t>
      </w:r>
      <w:r w:rsidR="00E130C2" w:rsidRPr="00F819B0">
        <w:rPr>
          <w:rStyle w:val="Heading2Char"/>
          <w:b/>
        </w:rPr>
        <w:t>GUIDELINES</w:t>
      </w:r>
      <w:r w:rsidR="000C0F73" w:rsidRPr="00F819B0">
        <w:rPr>
          <w:rStyle w:val="Heading2Char"/>
          <w:b/>
        </w:rPr>
        <w:t xml:space="preserve"> </w:t>
      </w:r>
      <w:r w:rsidR="000C0F73" w:rsidRPr="00F819B0">
        <w:t>(Tests, quizzes, homework, projects, etc</w:t>
      </w:r>
      <w:r w:rsidR="00D8012D">
        <w:t>.</w:t>
      </w:r>
      <w:r w:rsidR="000C0F73" w:rsidRPr="00F819B0">
        <w:t>)</w:t>
      </w:r>
    </w:p>
    <w:p w:rsidR="00FC638B" w:rsidRPr="00AA1BB4" w:rsidRDefault="00FC638B" w:rsidP="00FD7CF0">
      <w:pPr>
        <w:widowControl/>
        <w:rPr>
          <w:color w:val="000000" w:themeColor="text1"/>
        </w:rPr>
      </w:pPr>
      <w:r w:rsidRPr="00AA1BB4">
        <w:rPr>
          <w:color w:val="000000" w:themeColor="text1"/>
        </w:rPr>
        <w:t>See the Student Requirements section</w:t>
      </w:r>
      <w:r w:rsidR="00412DAD" w:rsidRPr="00AA1BB4">
        <w:rPr>
          <w:color w:val="000000" w:themeColor="text1"/>
        </w:rPr>
        <w:t xml:space="preserve"> of the syllabus</w:t>
      </w:r>
      <w:r w:rsidRPr="00AA1BB4">
        <w:rPr>
          <w:color w:val="000000" w:themeColor="text1"/>
        </w:rPr>
        <w:t>.</w:t>
      </w:r>
    </w:p>
    <w:p w:rsidR="00F749DC" w:rsidRDefault="00F819B0" w:rsidP="00060872">
      <w:pPr>
        <w:pStyle w:val="Heading2"/>
      </w:pPr>
      <w:r>
        <w:t>ACADEMIC DISHONESTY POLICY</w:t>
      </w:r>
    </w:p>
    <w:p w:rsidR="00E130C2" w:rsidRDefault="000C0F73">
      <w:pPr>
        <w:rPr>
          <w:rFonts w:cs="Arial"/>
          <w:iCs/>
        </w:rPr>
      </w:pPr>
      <w:r w:rsidRPr="001C454C">
        <w:rPr>
          <w:rFonts w:cs="Arial"/>
        </w:rPr>
        <w:t xml:space="preserve">The </w:t>
      </w:r>
      <w:r w:rsidR="00D8012D">
        <w:rPr>
          <w:rFonts w:cs="Arial"/>
        </w:rPr>
        <w:t>Southeastern Technical College</w:t>
      </w:r>
      <w:r w:rsidRPr="001C454C">
        <w:rPr>
          <w:rFonts w:cs="Arial"/>
        </w:rPr>
        <w:t xml:space="preserve"> Academic Dishonesty Policy states </w:t>
      </w:r>
      <w:r w:rsidR="006E6262">
        <w:rPr>
          <w:rFonts w:cs="Arial"/>
        </w:rPr>
        <w:t>that a</w:t>
      </w:r>
      <w:r w:rsidRPr="001C454C">
        <w:rPr>
          <w:rFonts w:cs="Arial"/>
          <w:iCs/>
        </w:rPr>
        <w:t>ll forms of academic dishonesty, including but not limited to cheating on tests, plagiarism, collusion, and falsification of information, will call for discipline.</w:t>
      </w:r>
      <w:r w:rsidR="00FF76DC" w:rsidRPr="001C454C">
        <w:rPr>
          <w:rFonts w:cs="Arial"/>
        </w:rPr>
        <w:t xml:space="preserve">  </w:t>
      </w:r>
      <w:r w:rsidRPr="001C454C">
        <w:rPr>
          <w:rFonts w:cs="Arial"/>
        </w:rPr>
        <w:t>The policy can also be found in the</w:t>
      </w:r>
      <w:r w:rsidRPr="001C454C">
        <w:rPr>
          <w:rFonts w:cs="Arial"/>
          <w:iCs/>
        </w:rPr>
        <w:t xml:space="preserve"> </w:t>
      </w:r>
      <w:r w:rsidR="00D8012D">
        <w:rPr>
          <w:rFonts w:cs="Arial"/>
          <w:iCs/>
        </w:rPr>
        <w:t>Southeastern Technical College</w:t>
      </w:r>
      <w:r w:rsidRPr="001C454C">
        <w:rPr>
          <w:rFonts w:cs="Arial"/>
          <w:iCs/>
        </w:rPr>
        <w:t xml:space="preserve"> Catalog and Handbook.</w:t>
      </w:r>
    </w:p>
    <w:p w:rsidR="001C454C" w:rsidRPr="00147D48" w:rsidRDefault="004162C8" w:rsidP="00060872">
      <w:pPr>
        <w:pStyle w:val="Heading2"/>
      </w:pPr>
      <w:r w:rsidRPr="00147D48">
        <w:t>Procedure for Academic Misconduct</w:t>
      </w:r>
      <w:r w:rsidR="00FA59E9">
        <w:t xml:space="preserve"> </w:t>
      </w:r>
    </w:p>
    <w:p w:rsidR="004162C8" w:rsidRPr="00036EE2" w:rsidRDefault="004162C8" w:rsidP="004162C8">
      <w:pPr>
        <w:widowControl/>
        <w:autoSpaceDE w:val="0"/>
        <w:autoSpaceDN w:val="0"/>
        <w:adjustRightInd w:val="0"/>
        <w:spacing w:before="100" w:after="100"/>
        <w:rPr>
          <w:rFonts w:eastAsiaTheme="minorHAnsi" w:cs="Arial"/>
          <w:snapToGrid/>
        </w:rPr>
      </w:pPr>
      <w:r w:rsidRPr="00036EE2">
        <w:rPr>
          <w:rFonts w:eastAsiaTheme="minorHAnsi" w:cs="Arial"/>
          <w:snapToGrid/>
        </w:rPr>
        <w:t>The procedure for dealing with academic misconduct and dishonesty is as follows:</w:t>
      </w:r>
    </w:p>
    <w:p w:rsidR="00F749DC" w:rsidRPr="00147D48" w:rsidRDefault="004162C8" w:rsidP="00147D48">
      <w:pPr>
        <w:pStyle w:val="ListParagraph"/>
        <w:numPr>
          <w:ilvl w:val="0"/>
          <w:numId w:val="14"/>
        </w:numPr>
        <w:rPr>
          <w:rFonts w:eastAsiaTheme="minorHAnsi"/>
          <w:b/>
        </w:rPr>
      </w:pPr>
      <w:r w:rsidRPr="00147D48">
        <w:rPr>
          <w:rFonts w:eastAsiaTheme="majorEastAsia"/>
          <w:b/>
        </w:rPr>
        <w:t>First Offense</w:t>
      </w:r>
    </w:p>
    <w:p w:rsidR="004162C8" w:rsidRPr="00F749DC" w:rsidRDefault="004162C8" w:rsidP="00147D48">
      <w:pPr>
        <w:ind w:left="720"/>
        <w:rPr>
          <w:rFonts w:eastAsiaTheme="minorHAnsi"/>
          <w:snapToGrid/>
        </w:rPr>
      </w:pPr>
      <w:r w:rsidRPr="00F749DC">
        <w:rPr>
          <w:rFonts w:eastAsiaTheme="minorHAnsi"/>
          <w:snapToGrid/>
        </w:rPr>
        <w:t>Student will be assigned a grade of "0" for the test or assignment. Instructor keeps a record in course/program files and notes as first offense. The instructor will notify the student's program advisor, academic dean, and the Registrar at the student's home campus. The Registrar will input the incident into Banner for tracking purposes.</w:t>
      </w:r>
    </w:p>
    <w:p w:rsidR="00F749DC" w:rsidRPr="00147D48" w:rsidRDefault="00F749DC" w:rsidP="00147D48">
      <w:pPr>
        <w:pStyle w:val="ListParagraph"/>
        <w:numPr>
          <w:ilvl w:val="0"/>
          <w:numId w:val="14"/>
        </w:numPr>
        <w:rPr>
          <w:rFonts w:eastAsiaTheme="minorHAnsi"/>
          <w:b/>
        </w:rPr>
      </w:pPr>
      <w:r w:rsidRPr="00147D48">
        <w:rPr>
          <w:rFonts w:eastAsiaTheme="majorEastAsia"/>
          <w:b/>
        </w:rPr>
        <w:t>Second Offense</w:t>
      </w:r>
    </w:p>
    <w:p w:rsidR="004162C8" w:rsidRPr="00F749DC" w:rsidRDefault="004162C8" w:rsidP="00147D48">
      <w:pPr>
        <w:ind w:left="720"/>
        <w:rPr>
          <w:rFonts w:eastAsiaTheme="minorHAnsi"/>
          <w:snapToGrid/>
        </w:rPr>
      </w:pPr>
      <w:r w:rsidRPr="00F749DC">
        <w:rPr>
          <w:rFonts w:eastAsiaTheme="minorHAnsi"/>
          <w:snapToGrid/>
        </w:rPr>
        <w:t xml:space="preserve">Student is given a grade of "WF" </w:t>
      </w:r>
      <w:r w:rsidR="00D76A61">
        <w:rPr>
          <w:rFonts w:eastAsiaTheme="minorHAnsi"/>
          <w:snapToGrid/>
        </w:rPr>
        <w:t xml:space="preserve">(Withdrawn Failing) </w:t>
      </w:r>
      <w:r w:rsidRPr="00F749DC">
        <w:rPr>
          <w:rFonts w:eastAsiaTheme="minorHAnsi"/>
          <w:snapToGrid/>
        </w:rPr>
        <w:t>for the course in which offense occurs. The instructor will notify the student's program advisor, academic dean, and the Registrar at the student's home campus indicating a "WF" has been issued as a result of second offense. The Registrar will input the incident into Banner for tracking purposes.</w:t>
      </w:r>
    </w:p>
    <w:p w:rsidR="00F749DC" w:rsidRPr="00147D48" w:rsidRDefault="00F749DC" w:rsidP="00147D48">
      <w:pPr>
        <w:pStyle w:val="ListParagraph"/>
        <w:numPr>
          <w:ilvl w:val="0"/>
          <w:numId w:val="14"/>
        </w:numPr>
        <w:rPr>
          <w:b/>
        </w:rPr>
      </w:pPr>
      <w:r w:rsidRPr="00147D48">
        <w:rPr>
          <w:b/>
        </w:rPr>
        <w:t>Third Offense</w:t>
      </w:r>
    </w:p>
    <w:p w:rsidR="004162C8" w:rsidRPr="008F5CED" w:rsidRDefault="004162C8" w:rsidP="00147D48">
      <w:pPr>
        <w:ind w:left="720"/>
        <w:rPr>
          <w:rFonts w:eastAsiaTheme="minorHAnsi"/>
          <w:snapToGrid/>
        </w:rPr>
      </w:pPr>
      <w:r w:rsidRPr="008F5CED">
        <w:rPr>
          <w:rFonts w:eastAsiaTheme="minorHAnsi"/>
          <w:snapToGrid/>
        </w:rPr>
        <w:t xml:space="preserve">Student is given a grade of "WF" for the course in which the offense occurs. The instructor will notify the student's program advisor, academic dean, and the Registrar at the student's home campus indicating a "WF" has been issued as a result of </w:t>
      </w:r>
      <w:r w:rsidR="00DC1ECC">
        <w:rPr>
          <w:rFonts w:eastAsiaTheme="minorHAnsi"/>
          <w:snapToGrid/>
        </w:rPr>
        <w:t>third</w:t>
      </w:r>
      <w:r w:rsidRPr="008F5CED">
        <w:rPr>
          <w:rFonts w:eastAsiaTheme="minorHAnsi"/>
          <w:snapToGrid/>
        </w:rPr>
        <w:t xml:space="preserve"> </w:t>
      </w:r>
      <w:r w:rsidRPr="008F5CED">
        <w:rPr>
          <w:rFonts w:eastAsiaTheme="minorHAnsi"/>
        </w:rPr>
        <w:t>offense</w:t>
      </w:r>
      <w:r w:rsidRPr="008F5CED">
        <w:rPr>
          <w:rFonts w:eastAsiaTheme="minorHAnsi"/>
          <w:snapToGrid/>
        </w:rPr>
        <w:t xml:space="preserve">. The Vice President for Student </w:t>
      </w:r>
      <w:r w:rsidRPr="008F5CED">
        <w:rPr>
          <w:rFonts w:eastAsiaTheme="minorHAnsi"/>
        </w:rPr>
        <w:t>Affairs</w:t>
      </w:r>
      <w:r w:rsidRPr="008F5CED">
        <w:rPr>
          <w:rFonts w:eastAsiaTheme="minorHAnsi"/>
          <w:snapToGrid/>
        </w:rPr>
        <w:t>, or designee, will notify the student of suspension from college for a specified period of time. The Registrar will input the incident into Banner for tracking purposes.</w:t>
      </w:r>
    </w:p>
    <w:p w:rsidR="000C37BA" w:rsidRDefault="000C37BA" w:rsidP="000C37BA">
      <w:pPr>
        <w:pStyle w:val="Heading2"/>
        <w:rPr>
          <w:rStyle w:val="Heading2Char"/>
          <w:b/>
        </w:rPr>
      </w:pPr>
      <w:r>
        <w:rPr>
          <w:rStyle w:val="Heading2Char"/>
          <w:b/>
        </w:rPr>
        <w:t>STATEMENT OF NON-DISCRIMINATION</w:t>
      </w:r>
    </w:p>
    <w:p w:rsidR="000C37BA" w:rsidRPr="005C1DCC" w:rsidRDefault="000C37BA" w:rsidP="005C1DCC">
      <w:pPr>
        <w:pStyle w:val="NormalWeb"/>
        <w:spacing w:after="225"/>
        <w:rPr>
          <w:strike/>
        </w:rPr>
      </w:pPr>
      <w:r w:rsidRPr="005C1DCC">
        <w:rPr>
          <w:rFonts w:asciiTheme="minorHAnsi" w:hAnsiTheme="minorHAnsi" w:cstheme="minorHAnsi"/>
        </w:rPr>
        <w:t xml:space="preserve">As set forth in the student catalog, Southeastern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w:t>
      </w:r>
    </w:p>
    <w:p w:rsidR="00D00A17" w:rsidRPr="006A0391" w:rsidRDefault="00D00A17" w:rsidP="00D00A17">
      <w:pPr>
        <w:spacing w:before="240" w:line="240" w:lineRule="atLeast"/>
        <w:rPr>
          <w:rFonts w:cs="Arial"/>
        </w:rPr>
      </w:pPr>
      <w:r w:rsidRPr="006A0391">
        <w:rPr>
          <w:rFonts w:cs="Arial"/>
        </w:rPr>
        <w:lastRenderedPageBreak/>
        <w:t>The following individuals have been designated to handle inquiries regarding the nondiscrimination policies:</w:t>
      </w:r>
    </w:p>
    <w:p w:rsidR="00D00A17" w:rsidRPr="006A0391" w:rsidRDefault="00D00A17" w:rsidP="00D00A17">
      <w:pPr>
        <w:widowControl/>
        <w:spacing w:line="240" w:lineRule="atLeast"/>
        <w:rPr>
          <w:rFonts w:cs="Arial"/>
          <w:sz w:val="18"/>
          <w:szCs w:val="18"/>
        </w:rPr>
      </w:pPr>
    </w:p>
    <w:tbl>
      <w:tblPr>
        <w:tblStyle w:val="TableGrid"/>
        <w:tblW w:w="0" w:type="auto"/>
        <w:tblLook w:val="04A0" w:firstRow="1" w:lastRow="0" w:firstColumn="1" w:lastColumn="0" w:noHBand="0" w:noVBand="1"/>
        <w:tblCaption w:val="ADA/Section 504 Equity Title IX and Title VI - Title IX EEOC Contact Information"/>
        <w:tblDescription w:val="This tables gives the contact information for the ADA/Section 504 Equity Title IX OCR Compliance Officer and the Title VI - Title IX EEOC Officer."/>
      </w:tblPr>
      <w:tblGrid>
        <w:gridCol w:w="4675"/>
        <w:gridCol w:w="4675"/>
      </w:tblGrid>
      <w:tr w:rsidR="006A0391" w:rsidRPr="006A0391" w:rsidTr="007D03EC">
        <w:trPr>
          <w:cantSplit/>
          <w:tblHeader/>
        </w:trPr>
        <w:tc>
          <w:tcPr>
            <w:tcW w:w="4675" w:type="dxa"/>
          </w:tcPr>
          <w:p w:rsidR="00D00A17" w:rsidRPr="006A0391" w:rsidRDefault="00D00A17" w:rsidP="007D03EC">
            <w:pPr>
              <w:rPr>
                <w:rFonts w:cs="Arial"/>
                <w:b/>
              </w:rPr>
            </w:pPr>
            <w:r w:rsidRPr="006A0391">
              <w:rPr>
                <w:rFonts w:cs="Arial"/>
                <w:b/>
              </w:rPr>
              <w:t>American With Disabilities Act (ADA)/Section 504 - Equity- Title IX (Students) – Office of Civil Rights (OCR) Compliance Officer</w:t>
            </w:r>
          </w:p>
        </w:tc>
        <w:tc>
          <w:tcPr>
            <w:tcW w:w="4675" w:type="dxa"/>
          </w:tcPr>
          <w:p w:rsidR="00D00A17" w:rsidRPr="006A0391" w:rsidRDefault="00D00A17" w:rsidP="007D03EC">
            <w:pPr>
              <w:rPr>
                <w:rFonts w:cs="Arial"/>
                <w:b/>
              </w:rPr>
            </w:pPr>
            <w:r w:rsidRPr="006A0391">
              <w:rPr>
                <w:rFonts w:cs="Arial"/>
                <w:b/>
              </w:rPr>
              <w:t>Title VI - Title IX (Employees) – Equal Employment Opportunity Commission (EEOC) Officer</w:t>
            </w:r>
          </w:p>
          <w:p w:rsidR="00D00A17" w:rsidRPr="006A0391" w:rsidRDefault="00D00A17" w:rsidP="007D03EC">
            <w:pPr>
              <w:rPr>
                <w:rFonts w:cs="Arial"/>
                <w:b/>
              </w:rPr>
            </w:pPr>
          </w:p>
        </w:tc>
      </w:tr>
      <w:tr w:rsidR="006A0391" w:rsidRPr="006A0391" w:rsidTr="007D03EC">
        <w:tc>
          <w:tcPr>
            <w:tcW w:w="4675" w:type="dxa"/>
          </w:tcPr>
          <w:p w:rsidR="00D00A17" w:rsidRPr="006A0391" w:rsidRDefault="00D00A17" w:rsidP="007D03EC">
            <w:pPr>
              <w:spacing w:line="240" w:lineRule="atLeast"/>
              <w:rPr>
                <w:rFonts w:cs="Arial"/>
              </w:rPr>
            </w:pPr>
            <w:r w:rsidRPr="006A0391">
              <w:rPr>
                <w:rFonts w:cs="Arial"/>
              </w:rPr>
              <w:t>Helen Thomas, Special Needs Specialist</w:t>
            </w:r>
          </w:p>
          <w:p w:rsidR="00D00A17" w:rsidRPr="006A0391" w:rsidRDefault="00D00A17" w:rsidP="007D03EC">
            <w:pPr>
              <w:spacing w:line="240" w:lineRule="atLeast"/>
              <w:rPr>
                <w:rFonts w:cs="Arial"/>
              </w:rPr>
            </w:pPr>
            <w:r w:rsidRPr="006A0391">
              <w:rPr>
                <w:rFonts w:cs="Arial"/>
              </w:rPr>
              <w:t>Vidalia Campus</w:t>
            </w:r>
          </w:p>
          <w:p w:rsidR="00D00A17" w:rsidRPr="006A0391" w:rsidRDefault="00D00A17" w:rsidP="007D03EC">
            <w:pPr>
              <w:spacing w:line="240" w:lineRule="atLeast"/>
              <w:rPr>
                <w:rFonts w:cs="Arial"/>
              </w:rPr>
            </w:pPr>
            <w:r w:rsidRPr="006A0391">
              <w:rPr>
                <w:rFonts w:cs="Arial"/>
              </w:rPr>
              <w:t>3001 East 1</w:t>
            </w:r>
            <w:r w:rsidRPr="006A0391">
              <w:rPr>
                <w:rFonts w:cs="Arial"/>
                <w:vertAlign w:val="superscript"/>
              </w:rPr>
              <w:t>st</w:t>
            </w:r>
            <w:r w:rsidRPr="006A0391">
              <w:rPr>
                <w:rFonts w:cs="Arial"/>
              </w:rPr>
              <w:t xml:space="preserve"> Street, Vidalia</w:t>
            </w:r>
          </w:p>
          <w:p w:rsidR="00D00A17" w:rsidRPr="006A0391" w:rsidRDefault="00D00A17" w:rsidP="007D03EC">
            <w:pPr>
              <w:spacing w:line="240" w:lineRule="atLeast"/>
              <w:rPr>
                <w:rFonts w:cs="Arial"/>
              </w:rPr>
            </w:pPr>
            <w:r w:rsidRPr="006A0391">
              <w:rPr>
                <w:rFonts w:cs="Arial"/>
              </w:rPr>
              <w:t>Office 165 Phone: 912-538-3126</w:t>
            </w:r>
          </w:p>
          <w:p w:rsidR="00D00A17" w:rsidRPr="006A0391" w:rsidRDefault="00D00A17" w:rsidP="007D03EC">
            <w:pPr>
              <w:spacing w:line="240" w:lineRule="atLeast"/>
              <w:rPr>
                <w:rFonts w:cs="Arial"/>
              </w:rPr>
            </w:pPr>
            <w:r w:rsidRPr="006A0391">
              <w:t xml:space="preserve">Email:  </w:t>
            </w:r>
            <w:hyperlink r:id="rId28" w:tooltip="hthomas@southeasterntech.edu" w:history="1">
              <w:r w:rsidRPr="006A0391">
                <w:rPr>
                  <w:rStyle w:val="Hyperlink"/>
                </w:rPr>
                <w:t>Helen Thomas</w:t>
              </w:r>
            </w:hyperlink>
          </w:p>
          <w:p w:rsidR="00D00A17" w:rsidRPr="006A0391" w:rsidRDefault="007822F9" w:rsidP="006A0391">
            <w:pPr>
              <w:rPr>
                <w:rFonts w:cs="Arial"/>
              </w:rPr>
            </w:pPr>
            <w:hyperlink r:id="rId29" w:tooltip="Email Address for Helen Thomas" w:history="1">
              <w:r w:rsidR="00D00A17" w:rsidRPr="006A0391">
                <w:rPr>
                  <w:rStyle w:val="Hyperlink"/>
                </w:rPr>
                <w:t>hthomas@southeasterntech.edu</w:t>
              </w:r>
            </w:hyperlink>
          </w:p>
        </w:tc>
        <w:tc>
          <w:tcPr>
            <w:tcW w:w="4675" w:type="dxa"/>
          </w:tcPr>
          <w:p w:rsidR="00D00A17" w:rsidRPr="006A0391" w:rsidRDefault="00D00A17" w:rsidP="007D03EC">
            <w:pPr>
              <w:spacing w:line="240" w:lineRule="atLeast"/>
              <w:rPr>
                <w:rFonts w:cs="Arial"/>
              </w:rPr>
            </w:pPr>
            <w:r w:rsidRPr="006A0391">
              <w:rPr>
                <w:rFonts w:cs="Arial"/>
              </w:rPr>
              <w:t>Lanie Jonas, Director of Human Resources</w:t>
            </w:r>
          </w:p>
          <w:p w:rsidR="00D00A17" w:rsidRPr="006A0391" w:rsidRDefault="00D00A17" w:rsidP="007D03EC">
            <w:pPr>
              <w:spacing w:line="240" w:lineRule="atLeast"/>
              <w:rPr>
                <w:rFonts w:cs="Arial"/>
              </w:rPr>
            </w:pPr>
            <w:r w:rsidRPr="006A0391">
              <w:rPr>
                <w:rFonts w:cs="Arial"/>
              </w:rPr>
              <w:t>Vidalia Campus</w:t>
            </w:r>
          </w:p>
          <w:p w:rsidR="00D00A17" w:rsidRPr="006A0391" w:rsidRDefault="00D00A17" w:rsidP="007D03EC">
            <w:pPr>
              <w:spacing w:line="240" w:lineRule="atLeast"/>
              <w:rPr>
                <w:rFonts w:cs="Arial"/>
              </w:rPr>
            </w:pPr>
            <w:r w:rsidRPr="006A0391">
              <w:rPr>
                <w:rFonts w:cs="Arial"/>
              </w:rPr>
              <w:t>3001 East 1</w:t>
            </w:r>
            <w:r w:rsidRPr="006A0391">
              <w:rPr>
                <w:rFonts w:cs="Arial"/>
                <w:vertAlign w:val="superscript"/>
              </w:rPr>
              <w:t>st</w:t>
            </w:r>
            <w:r w:rsidRPr="006A0391">
              <w:rPr>
                <w:rFonts w:cs="Arial"/>
              </w:rPr>
              <w:t xml:space="preserve"> Street, Vidalia</w:t>
            </w:r>
          </w:p>
          <w:p w:rsidR="00D00A17" w:rsidRPr="006A0391" w:rsidRDefault="00D00A17" w:rsidP="007D03EC">
            <w:pPr>
              <w:spacing w:line="240" w:lineRule="atLeast"/>
              <w:rPr>
                <w:rFonts w:cs="Arial"/>
              </w:rPr>
            </w:pPr>
            <w:r w:rsidRPr="006A0391">
              <w:rPr>
                <w:rFonts w:cs="Arial"/>
              </w:rPr>
              <w:t>Office 138B Phone: 912-538-3230</w:t>
            </w:r>
          </w:p>
          <w:p w:rsidR="00D00A17" w:rsidRPr="006A0391" w:rsidRDefault="00D00A17" w:rsidP="007D03EC">
            <w:pPr>
              <w:spacing w:line="240" w:lineRule="atLeast"/>
              <w:rPr>
                <w:rStyle w:val="Hyperlink"/>
                <w:rFonts w:cs="Arial"/>
                <w:color w:val="auto"/>
              </w:rPr>
            </w:pPr>
            <w:r w:rsidRPr="006A0391">
              <w:t>Email</w:t>
            </w:r>
            <w:r w:rsidRPr="006A0391">
              <w:rPr>
                <w:rStyle w:val="Hyperlink"/>
                <w:u w:val="none"/>
              </w:rPr>
              <w:t xml:space="preserve">:  </w:t>
            </w:r>
            <w:hyperlink r:id="rId30" w:tooltip="ljonas@southeasterntech.edu" w:history="1">
              <w:r w:rsidRPr="006A0391">
                <w:rPr>
                  <w:rStyle w:val="Hyperlink"/>
                </w:rPr>
                <w:t>Lanie Jonas</w:t>
              </w:r>
            </w:hyperlink>
            <w:hyperlink r:id="rId31" w:history="1"/>
          </w:p>
          <w:p w:rsidR="00D00A17" w:rsidRPr="006A0391" w:rsidRDefault="007822F9" w:rsidP="006A0391">
            <w:pPr>
              <w:rPr>
                <w:rFonts w:cs="Arial"/>
              </w:rPr>
            </w:pPr>
            <w:hyperlink r:id="rId32" w:tooltip="Email Address for Lanie Jonas" w:history="1">
              <w:r w:rsidR="00D00A17" w:rsidRPr="006A0391">
                <w:rPr>
                  <w:rStyle w:val="Hyperlink"/>
                </w:rPr>
                <w:t>ljonas@southeasterntech.edu</w:t>
              </w:r>
            </w:hyperlink>
          </w:p>
        </w:tc>
      </w:tr>
    </w:tbl>
    <w:p w:rsidR="00D00A17" w:rsidRPr="00D00A17" w:rsidRDefault="00D00A17" w:rsidP="00D00A17"/>
    <w:p w:rsidR="008B15D9" w:rsidRDefault="008B15D9" w:rsidP="00060872">
      <w:pPr>
        <w:pStyle w:val="Heading2"/>
      </w:pPr>
      <w:r>
        <w:t>accessibility Statement</w:t>
      </w:r>
    </w:p>
    <w:p w:rsidR="008B15D9" w:rsidRPr="00741316" w:rsidRDefault="008B15D9" w:rsidP="008B15D9">
      <w:pPr>
        <w:rPr>
          <w:rFonts w:asciiTheme="minorHAnsi" w:hAnsiTheme="minorHAnsi" w:cstheme="minorHAnsi"/>
          <w:snapToGrid/>
          <w:szCs w:val="24"/>
        </w:rPr>
      </w:pPr>
      <w:r w:rsidRPr="00741316">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rsidR="00514B8A" w:rsidRDefault="00822617" w:rsidP="00060872">
      <w:pPr>
        <w:pStyle w:val="Heading2"/>
      </w:pPr>
      <w:r w:rsidRPr="00633678">
        <w:t xml:space="preserve">GRIEVANCE </w:t>
      </w:r>
      <w:r w:rsidR="00F819B0">
        <w:t>PROCEDURES</w:t>
      </w:r>
    </w:p>
    <w:p w:rsidR="00822617" w:rsidRPr="00633678" w:rsidRDefault="00822617" w:rsidP="00822617">
      <w:pPr>
        <w:widowControl/>
        <w:spacing w:line="240" w:lineRule="atLeast"/>
        <w:rPr>
          <w:rFonts w:cs="Arial"/>
          <w:b/>
        </w:rPr>
      </w:pPr>
      <w:r w:rsidRPr="00633678">
        <w:rPr>
          <w:rFonts w:cs="Arial"/>
        </w:rPr>
        <w:t xml:space="preserve">Grievance procedures can be found in the Catalog and Handbook located on </w:t>
      </w:r>
      <w:r w:rsidR="00D8012D">
        <w:rPr>
          <w:rFonts w:cs="Arial"/>
        </w:rPr>
        <w:t xml:space="preserve">Southeastern Technical College’s </w:t>
      </w:r>
      <w:r w:rsidRPr="00633678">
        <w:rPr>
          <w:rFonts w:cs="Arial"/>
        </w:rPr>
        <w:t>website.</w:t>
      </w:r>
    </w:p>
    <w:p w:rsidR="00514B8A" w:rsidRPr="00E51EA7" w:rsidRDefault="00E130C2" w:rsidP="00060872">
      <w:pPr>
        <w:pStyle w:val="Heading2"/>
      </w:pPr>
      <w:r w:rsidRPr="00E51EA7">
        <w:rPr>
          <w:rStyle w:val="Heading2Char"/>
          <w:b/>
        </w:rPr>
        <w:t>ACCESS TO TECHNOLOGY</w:t>
      </w:r>
    </w:p>
    <w:p w:rsidR="00292BF5" w:rsidRDefault="00292BF5" w:rsidP="00292BF5">
      <w:pPr>
        <w:widowControl/>
        <w:rPr>
          <w:rFonts w:cs="Arial"/>
        </w:rPr>
      </w:pPr>
      <w:r w:rsidRPr="00633678">
        <w:rPr>
          <w:rFonts w:cs="Arial"/>
        </w:rPr>
        <w:t xml:space="preserve">Students can now access </w:t>
      </w:r>
      <w:r w:rsidR="00D02254" w:rsidRPr="00F819B0">
        <w:rPr>
          <w:rFonts w:cs="Arial"/>
        </w:rPr>
        <w:t>Blackboard</w:t>
      </w:r>
      <w:r w:rsidRPr="00633678">
        <w:rPr>
          <w:rFonts w:cs="Arial"/>
        </w:rPr>
        <w:t xml:space="preserve">, Remote Lab Access, Student Email, Library Databases (Galileo), and </w:t>
      </w:r>
      <w:proofErr w:type="spellStart"/>
      <w:r w:rsidRPr="00633678">
        <w:rPr>
          <w:rFonts w:cs="Arial"/>
        </w:rPr>
        <w:t>BannerWeb</w:t>
      </w:r>
      <w:proofErr w:type="spellEnd"/>
      <w:r w:rsidRPr="00633678">
        <w:rPr>
          <w:rFonts w:cs="Arial"/>
        </w:rPr>
        <w:t xml:space="preserve"> via the </w:t>
      </w:r>
      <w:proofErr w:type="spellStart"/>
      <w:r w:rsidRPr="00633678">
        <w:rPr>
          <w:rFonts w:cs="Arial"/>
        </w:rPr>
        <w:t>mySTC</w:t>
      </w:r>
      <w:proofErr w:type="spellEnd"/>
      <w:r w:rsidRPr="00633678">
        <w:rPr>
          <w:rFonts w:cs="Arial"/>
        </w:rPr>
        <w:t xml:space="preserve"> portal or by clicking the Current Stu</w:t>
      </w:r>
      <w:r w:rsidR="00FF76DC">
        <w:rPr>
          <w:rFonts w:cs="Arial"/>
        </w:rPr>
        <w:t xml:space="preserve">dents link on the </w:t>
      </w:r>
      <w:hyperlink r:id="rId33" w:tooltip="www.southeasterntech.edu" w:history="1">
        <w:r w:rsidR="00D8012D">
          <w:rPr>
            <w:rStyle w:val="Hyperlink"/>
            <w:rFonts w:cs="Arial"/>
          </w:rPr>
          <w:t>Southeastern Technical College (STC) Website</w:t>
        </w:r>
      </w:hyperlink>
      <w:r w:rsidR="002048D9">
        <w:rPr>
          <w:rStyle w:val="Hyperlink"/>
          <w:rFonts w:cs="Arial"/>
          <w:u w:val="none"/>
        </w:rPr>
        <w:t xml:space="preserve"> (</w:t>
      </w:r>
      <w:hyperlink r:id="rId34" w:tooltip="Southeastern Tech's Website" w:history="1">
        <w:r w:rsidR="002048D9" w:rsidRPr="002048D9">
          <w:rPr>
            <w:rStyle w:val="Hyperlink"/>
            <w:rFonts w:cs="Arial"/>
          </w:rPr>
          <w:t>www.southeasterntech.edu</w:t>
        </w:r>
      </w:hyperlink>
      <w:r w:rsidR="002048D9">
        <w:rPr>
          <w:rStyle w:val="Hyperlink"/>
          <w:rFonts w:cs="Arial"/>
          <w:u w:val="none"/>
        </w:rPr>
        <w:t>)</w:t>
      </w:r>
      <w:r w:rsidRPr="00633678">
        <w:rPr>
          <w:rFonts w:cs="Arial"/>
        </w:rPr>
        <w:t>.</w:t>
      </w:r>
    </w:p>
    <w:p w:rsidR="00A244FD" w:rsidRDefault="009E747A" w:rsidP="00060872">
      <w:pPr>
        <w:pStyle w:val="Heading2"/>
      </w:pPr>
      <w:r>
        <w:t>Technical college system of georgia (tcsg)</w:t>
      </w:r>
      <w:r w:rsidR="00A244FD" w:rsidRPr="00070E28">
        <w:t xml:space="preserve"> GUARANTEE/WARRANTY STATEMENT</w:t>
      </w:r>
    </w:p>
    <w:p w:rsidR="00A244FD" w:rsidRPr="00070E28" w:rsidRDefault="00A244FD" w:rsidP="00A244FD">
      <w:pPr>
        <w:rPr>
          <w:i/>
        </w:rPr>
      </w:pPr>
      <w:r w:rsidRPr="00070E28">
        <w:rPr>
          <w:i/>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rsidR="006251E6" w:rsidRPr="00AA5198" w:rsidRDefault="006251E6" w:rsidP="00060872">
      <w:pPr>
        <w:pStyle w:val="Heading2"/>
      </w:pPr>
      <w:r w:rsidRPr="00AA5198">
        <w:t xml:space="preserve">Grading Policy </w:t>
      </w:r>
    </w:p>
    <w:p w:rsidR="00FF69E7" w:rsidRDefault="00FF69E7" w:rsidP="006251E6"/>
    <w:tbl>
      <w:tblPr>
        <w:tblStyle w:val="TableGrid"/>
        <w:tblW w:w="0" w:type="auto"/>
        <w:tblLook w:val="04A0" w:firstRow="1" w:lastRow="0" w:firstColumn="1" w:lastColumn="0" w:noHBand="0" w:noVBand="1"/>
      </w:tblPr>
      <w:tblGrid>
        <w:gridCol w:w="2902"/>
        <w:gridCol w:w="1337"/>
      </w:tblGrid>
      <w:tr w:rsidR="007D195A" w:rsidRPr="00F819B0" w:rsidTr="006C1B74">
        <w:trPr>
          <w:cantSplit/>
          <w:tblHeader/>
        </w:trPr>
        <w:tc>
          <w:tcPr>
            <w:tcW w:w="0" w:type="auto"/>
          </w:tcPr>
          <w:p w:rsidR="007D195A" w:rsidRPr="00F819B0" w:rsidRDefault="007D195A" w:rsidP="006C1B74">
            <w:pPr>
              <w:rPr>
                <w:rFonts w:cs="Arial"/>
                <w:b/>
              </w:rPr>
            </w:pPr>
            <w:r>
              <w:rPr>
                <w:rFonts w:cs="Arial"/>
                <w:b/>
              </w:rPr>
              <w:t>Assessment/Assignment</w:t>
            </w:r>
          </w:p>
        </w:tc>
        <w:tc>
          <w:tcPr>
            <w:tcW w:w="0" w:type="auto"/>
          </w:tcPr>
          <w:p w:rsidR="007D195A" w:rsidRPr="00F819B0" w:rsidRDefault="007D195A" w:rsidP="006C1B74">
            <w:pPr>
              <w:rPr>
                <w:rFonts w:cs="Arial"/>
                <w:b/>
              </w:rPr>
            </w:pPr>
            <w:r w:rsidRPr="00F819B0">
              <w:rPr>
                <w:rFonts w:cs="Arial"/>
                <w:b/>
              </w:rPr>
              <w:t>Percentage</w:t>
            </w:r>
          </w:p>
        </w:tc>
      </w:tr>
      <w:tr w:rsidR="007D195A" w:rsidRPr="00F819B0" w:rsidTr="006C1B74">
        <w:tc>
          <w:tcPr>
            <w:tcW w:w="0" w:type="auto"/>
          </w:tcPr>
          <w:p w:rsidR="007D195A" w:rsidRPr="00F819B0" w:rsidRDefault="007D195A" w:rsidP="006C1B74">
            <w:pPr>
              <w:rPr>
                <w:rFonts w:cs="Arial"/>
              </w:rPr>
            </w:pPr>
            <w:r>
              <w:rPr>
                <w:rFonts w:cs="Arial"/>
              </w:rPr>
              <w:t>Theory Assessments (Tests)</w:t>
            </w:r>
          </w:p>
        </w:tc>
        <w:tc>
          <w:tcPr>
            <w:tcW w:w="0" w:type="auto"/>
          </w:tcPr>
          <w:p w:rsidR="007D195A" w:rsidRPr="00F819B0" w:rsidRDefault="007D195A" w:rsidP="006C1B74">
            <w:pPr>
              <w:rPr>
                <w:rFonts w:cs="Arial"/>
              </w:rPr>
            </w:pPr>
            <w:r>
              <w:rPr>
                <w:rFonts w:cs="Arial"/>
              </w:rPr>
              <w:t>100%</w:t>
            </w:r>
          </w:p>
        </w:tc>
      </w:tr>
    </w:tbl>
    <w:p w:rsidR="007D195A" w:rsidRPr="00AA5198" w:rsidRDefault="007D195A" w:rsidP="006251E6"/>
    <w:p w:rsidR="00FF69E7" w:rsidRPr="00AA5198" w:rsidRDefault="00FF69E7" w:rsidP="006251E6"/>
    <w:p w:rsidR="00A360A1" w:rsidRPr="005C1DCC" w:rsidRDefault="00F145D0" w:rsidP="006251E6">
      <w:pPr>
        <w:rPr>
          <w:rStyle w:val="SIDEHEADER"/>
          <w:rFonts w:ascii="Calibri" w:hAnsi="Calibri" w:cs="Calibri"/>
          <w:b w:val="0"/>
          <w:szCs w:val="24"/>
        </w:rPr>
      </w:pPr>
      <w:r w:rsidRPr="00913672">
        <w:rPr>
          <w:color w:val="000000" w:themeColor="text1"/>
        </w:rPr>
        <w:t xml:space="preserve">Assessments (Tests) include the ELDT Theory Assessment(s) covering the standard curriculum A1.1, A1.2, A1.3, A1.4, </w:t>
      </w:r>
      <w:r w:rsidR="008C11EA" w:rsidRPr="00913672">
        <w:rPr>
          <w:color w:val="000000" w:themeColor="text1"/>
        </w:rPr>
        <w:t xml:space="preserve">and </w:t>
      </w:r>
      <w:r w:rsidRPr="00913672">
        <w:rPr>
          <w:color w:val="000000" w:themeColor="text1"/>
        </w:rPr>
        <w:t xml:space="preserve">A1.5. Students are required to have an overall 80% average on the </w:t>
      </w:r>
      <w:r w:rsidR="000A0EFF" w:rsidRPr="00913672">
        <w:rPr>
          <w:color w:val="000000" w:themeColor="text1"/>
        </w:rPr>
        <w:t xml:space="preserve">Theory </w:t>
      </w:r>
      <w:r w:rsidRPr="00913672">
        <w:rPr>
          <w:color w:val="000000" w:themeColor="text1"/>
        </w:rPr>
        <w:t>Assessments to move on to CTDL 1021 and CTDL 1031.  Students are withdrawn from the program if an 80% is not earned in CTDL 1010.</w:t>
      </w:r>
      <w:r w:rsidR="00A360A1" w:rsidRPr="00A360A1">
        <w:rPr>
          <w:rStyle w:val="SIDEHEADER"/>
          <w:rFonts w:ascii="Calibri" w:hAnsi="Calibri" w:cs="Calibri"/>
          <w:b w:val="0"/>
          <w:color w:val="00B050"/>
          <w:szCs w:val="24"/>
        </w:rPr>
        <w:t xml:space="preserve"> </w:t>
      </w:r>
      <w:r w:rsidR="00A360A1" w:rsidRPr="005C1DCC">
        <w:rPr>
          <w:rStyle w:val="SIDEHEADER"/>
          <w:rFonts w:ascii="Calibri" w:hAnsi="Calibri" w:cs="Calibri"/>
          <w:b w:val="0"/>
          <w:szCs w:val="24"/>
        </w:rPr>
        <w:t>Students with a C-Grade or lower in CTDL 1010, must retake 1010 if returning to the program.</w:t>
      </w:r>
      <w:r w:rsidR="00A360A1" w:rsidRPr="005C1DCC">
        <w:t xml:space="preserve"> </w:t>
      </w:r>
      <w:r w:rsidR="00A360A1" w:rsidRPr="005C1DCC">
        <w:rPr>
          <w:rStyle w:val="SIDEHEADER"/>
          <w:rFonts w:ascii="Calibri" w:hAnsi="Calibri" w:cs="Calibri"/>
          <w:b w:val="0"/>
          <w:szCs w:val="24"/>
        </w:rPr>
        <w:t xml:space="preserve">Financial repercussions may result.  The student may inquire about re-enrolling the next term.  </w:t>
      </w:r>
    </w:p>
    <w:p w:rsidR="005618C7" w:rsidRPr="005C1DCC" w:rsidRDefault="005618C7" w:rsidP="006251E6"/>
    <w:p w:rsidR="005618C7" w:rsidRPr="005C1DCC" w:rsidRDefault="005618C7" w:rsidP="005618C7">
      <w:pPr>
        <w:rPr>
          <w:rStyle w:val="SIDEHEADER"/>
          <w:rFonts w:ascii="Calibri" w:hAnsi="Calibri" w:cs="Calibri"/>
          <w:b w:val="0"/>
          <w:szCs w:val="24"/>
        </w:rPr>
      </w:pPr>
      <w:bookmarkStart w:id="4" w:name="_Hlk90987727"/>
      <w:r w:rsidRPr="005C1DCC">
        <w:rPr>
          <w:rStyle w:val="SIDEHEADER"/>
          <w:rFonts w:ascii="Calibri" w:hAnsi="Calibri" w:cs="Calibri"/>
          <w:b w:val="0"/>
          <w:szCs w:val="24"/>
        </w:rPr>
        <w:t xml:space="preserve">Note:  Students with holds on their college accounts will not be scheduled for the State CDL Licensure Exam </w:t>
      </w:r>
      <w:r w:rsidRPr="005C1DCC">
        <w:rPr>
          <w:rStyle w:val="SIDEHEADER"/>
          <w:rFonts w:ascii="Calibri" w:hAnsi="Calibri" w:cs="Calibri"/>
          <w:b w:val="0"/>
          <w:szCs w:val="24"/>
        </w:rPr>
        <w:lastRenderedPageBreak/>
        <w:t>until all holds are cleared.  If not cleared in enough time, FMCSA regulations may require a student to retake the program to be eligible again.  Financial repercussions may result</w:t>
      </w:r>
      <w:r w:rsidR="00933089" w:rsidRPr="005C1DCC">
        <w:rPr>
          <w:rStyle w:val="SIDEHEADER"/>
          <w:rFonts w:ascii="Calibri" w:hAnsi="Calibri" w:cs="Calibri"/>
          <w:b w:val="0"/>
          <w:szCs w:val="24"/>
        </w:rPr>
        <w:t xml:space="preserve"> and students may be removed from courses.</w:t>
      </w:r>
    </w:p>
    <w:p w:rsidR="005618C7" w:rsidRPr="005C1DCC" w:rsidRDefault="005618C7" w:rsidP="005618C7">
      <w:pPr>
        <w:rPr>
          <w:rStyle w:val="SIDEHEADER"/>
          <w:rFonts w:ascii="Calibri" w:hAnsi="Calibri" w:cs="Calibri"/>
          <w:b w:val="0"/>
          <w:szCs w:val="24"/>
        </w:rPr>
      </w:pPr>
    </w:p>
    <w:p w:rsidR="005618C7" w:rsidRPr="00A360A1" w:rsidRDefault="005618C7" w:rsidP="006251E6">
      <w:pPr>
        <w:rPr>
          <w:color w:val="00B050"/>
        </w:rPr>
      </w:pPr>
      <w:r w:rsidRPr="005C1DCC">
        <w:rPr>
          <w:rStyle w:val="SIDEHEADER"/>
          <w:rFonts w:ascii="Calibri" w:hAnsi="Calibri" w:cs="Calibri"/>
          <w:b w:val="0"/>
          <w:szCs w:val="24"/>
        </w:rPr>
        <w:t>Note: Students are held to the STC Commercial Truck Driving Class Rules and Regulations that were signed by the student</w:t>
      </w:r>
      <w:r w:rsidR="00240391">
        <w:rPr>
          <w:rStyle w:val="SIDEHEADER"/>
          <w:rFonts w:ascii="Calibri" w:hAnsi="Calibri" w:cs="Calibri"/>
          <w:b w:val="0"/>
          <w:szCs w:val="24"/>
        </w:rPr>
        <w:t xml:space="preserve"> </w:t>
      </w:r>
      <w:r w:rsidR="00240391" w:rsidRPr="00442538">
        <w:rPr>
          <w:rStyle w:val="SIDEHEADER"/>
          <w:rFonts w:ascii="Calibri" w:hAnsi="Calibri" w:cs="Calibri"/>
          <w:b w:val="0"/>
          <w:color w:val="000000" w:themeColor="text1"/>
          <w:szCs w:val="24"/>
        </w:rPr>
        <w:t>and to the information in the syllabus or amended syllabus</w:t>
      </w:r>
      <w:r w:rsidR="00933089" w:rsidRPr="00442538">
        <w:rPr>
          <w:rStyle w:val="SIDEHEADER"/>
          <w:rFonts w:ascii="Calibri" w:hAnsi="Calibri" w:cs="Calibri"/>
          <w:b w:val="0"/>
          <w:color w:val="000000" w:themeColor="text1"/>
          <w:szCs w:val="24"/>
        </w:rPr>
        <w:t>.</w:t>
      </w:r>
      <w:bookmarkEnd w:id="4"/>
    </w:p>
    <w:p w:rsidR="00F819B0" w:rsidRDefault="00F819B0" w:rsidP="00060872">
      <w:pPr>
        <w:pStyle w:val="Heading2"/>
      </w:pPr>
      <w:r w:rsidRPr="00A244FD">
        <w:t>grading</w:t>
      </w:r>
      <w:r>
        <w:t xml:space="preserve"> scale</w:t>
      </w:r>
      <w:r w:rsidR="00FF69E7">
        <w:t xml:space="preserve"> </w:t>
      </w:r>
    </w:p>
    <w:tbl>
      <w:tblPr>
        <w:tblStyle w:val="TableGrid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615"/>
        <w:gridCol w:w="1103"/>
      </w:tblGrid>
      <w:tr w:rsidR="00F819B0" w:rsidTr="002D6EA3">
        <w:trPr>
          <w:cantSplit/>
          <w:tblHeader/>
        </w:trPr>
        <w:tc>
          <w:tcPr>
            <w:tcW w:w="1615" w:type="dxa"/>
          </w:tcPr>
          <w:p w:rsidR="00F819B0" w:rsidRPr="00F819B0" w:rsidRDefault="002D6EA3" w:rsidP="00F819B0">
            <w:pPr>
              <w:rPr>
                <w:rFonts w:cs="Arial"/>
                <w:b/>
              </w:rPr>
            </w:pPr>
            <w:r>
              <w:rPr>
                <w:rFonts w:cs="Arial"/>
                <w:b/>
              </w:rPr>
              <w:t>Letter Grade</w:t>
            </w:r>
          </w:p>
        </w:tc>
        <w:tc>
          <w:tcPr>
            <w:tcW w:w="1103" w:type="dxa"/>
          </w:tcPr>
          <w:p w:rsidR="00F819B0" w:rsidRPr="00F819B0" w:rsidRDefault="00F819B0" w:rsidP="00F819B0">
            <w:pPr>
              <w:rPr>
                <w:rFonts w:cs="Arial"/>
                <w:b/>
              </w:rPr>
            </w:pPr>
            <w:r w:rsidRPr="00F819B0">
              <w:rPr>
                <w:rFonts w:cs="Arial"/>
                <w:b/>
              </w:rPr>
              <w:t>Range</w:t>
            </w:r>
          </w:p>
        </w:tc>
      </w:tr>
      <w:tr w:rsidR="00F819B0" w:rsidTr="002D6EA3">
        <w:tc>
          <w:tcPr>
            <w:tcW w:w="1615" w:type="dxa"/>
          </w:tcPr>
          <w:p w:rsidR="00F819B0" w:rsidRPr="00A244FD" w:rsidRDefault="00F819B0" w:rsidP="007D03EC">
            <w:pPr>
              <w:rPr>
                <w:rFonts w:cs="Arial"/>
              </w:rPr>
            </w:pPr>
            <w:r w:rsidRPr="00A244FD">
              <w:rPr>
                <w:rFonts w:cs="Arial"/>
              </w:rPr>
              <w:t>A</w:t>
            </w:r>
          </w:p>
        </w:tc>
        <w:tc>
          <w:tcPr>
            <w:tcW w:w="1103" w:type="dxa"/>
          </w:tcPr>
          <w:p w:rsidR="00F819B0" w:rsidRPr="00A244FD" w:rsidRDefault="00F819B0" w:rsidP="007D03EC">
            <w:pPr>
              <w:rPr>
                <w:rFonts w:cs="Arial"/>
              </w:rPr>
            </w:pPr>
            <w:r w:rsidRPr="00A244FD">
              <w:rPr>
                <w:rFonts w:cs="Arial"/>
              </w:rPr>
              <w:t>90-100</w:t>
            </w:r>
          </w:p>
        </w:tc>
      </w:tr>
      <w:tr w:rsidR="00F819B0" w:rsidTr="002D6EA3">
        <w:tc>
          <w:tcPr>
            <w:tcW w:w="1615" w:type="dxa"/>
          </w:tcPr>
          <w:p w:rsidR="00F819B0" w:rsidRPr="00A244FD" w:rsidRDefault="00F819B0" w:rsidP="007D03EC">
            <w:pPr>
              <w:rPr>
                <w:rFonts w:cs="Arial"/>
              </w:rPr>
            </w:pPr>
            <w:r w:rsidRPr="00A244FD">
              <w:rPr>
                <w:rFonts w:cs="Arial"/>
              </w:rPr>
              <w:t>B</w:t>
            </w:r>
          </w:p>
        </w:tc>
        <w:tc>
          <w:tcPr>
            <w:tcW w:w="1103" w:type="dxa"/>
          </w:tcPr>
          <w:p w:rsidR="00F819B0" w:rsidRPr="00A244FD" w:rsidRDefault="00F819B0" w:rsidP="007D03EC">
            <w:pPr>
              <w:rPr>
                <w:rFonts w:cs="Arial"/>
              </w:rPr>
            </w:pPr>
            <w:r w:rsidRPr="00A244FD">
              <w:rPr>
                <w:rFonts w:cs="Arial"/>
              </w:rPr>
              <w:t>80-89</w:t>
            </w:r>
          </w:p>
        </w:tc>
      </w:tr>
      <w:tr w:rsidR="00F819B0" w:rsidTr="002D6EA3">
        <w:tc>
          <w:tcPr>
            <w:tcW w:w="1615" w:type="dxa"/>
          </w:tcPr>
          <w:p w:rsidR="00F819B0" w:rsidRPr="00A244FD" w:rsidRDefault="00F819B0" w:rsidP="007D03EC">
            <w:pPr>
              <w:rPr>
                <w:rFonts w:cs="Arial"/>
              </w:rPr>
            </w:pPr>
            <w:r w:rsidRPr="00A244FD">
              <w:rPr>
                <w:rFonts w:cs="Arial"/>
              </w:rPr>
              <w:t>C</w:t>
            </w:r>
          </w:p>
        </w:tc>
        <w:tc>
          <w:tcPr>
            <w:tcW w:w="1103" w:type="dxa"/>
          </w:tcPr>
          <w:p w:rsidR="00F819B0" w:rsidRPr="00A244FD" w:rsidRDefault="00F819B0" w:rsidP="007D03EC">
            <w:pPr>
              <w:rPr>
                <w:rFonts w:cs="Arial"/>
              </w:rPr>
            </w:pPr>
            <w:r w:rsidRPr="00A244FD">
              <w:rPr>
                <w:rFonts w:cs="Arial"/>
              </w:rPr>
              <w:t>70-79</w:t>
            </w:r>
          </w:p>
        </w:tc>
      </w:tr>
      <w:tr w:rsidR="00F819B0" w:rsidTr="002D6EA3">
        <w:tc>
          <w:tcPr>
            <w:tcW w:w="1615" w:type="dxa"/>
          </w:tcPr>
          <w:p w:rsidR="00F819B0" w:rsidRPr="00A244FD" w:rsidRDefault="00F819B0" w:rsidP="007D03EC">
            <w:pPr>
              <w:rPr>
                <w:rFonts w:cs="Arial"/>
              </w:rPr>
            </w:pPr>
            <w:r w:rsidRPr="00A244FD">
              <w:rPr>
                <w:rFonts w:cs="Arial"/>
              </w:rPr>
              <w:t>D</w:t>
            </w:r>
          </w:p>
        </w:tc>
        <w:tc>
          <w:tcPr>
            <w:tcW w:w="1103" w:type="dxa"/>
          </w:tcPr>
          <w:p w:rsidR="00F819B0" w:rsidRPr="00A244FD" w:rsidRDefault="00F819B0" w:rsidP="007D03EC">
            <w:pPr>
              <w:rPr>
                <w:rFonts w:cs="Arial"/>
              </w:rPr>
            </w:pPr>
            <w:r w:rsidRPr="00A244FD">
              <w:rPr>
                <w:rFonts w:cs="Arial"/>
              </w:rPr>
              <w:t>60-69</w:t>
            </w:r>
          </w:p>
        </w:tc>
      </w:tr>
      <w:tr w:rsidR="00F819B0" w:rsidTr="002D6EA3">
        <w:tc>
          <w:tcPr>
            <w:tcW w:w="1615" w:type="dxa"/>
          </w:tcPr>
          <w:p w:rsidR="00F819B0" w:rsidRPr="00A244FD" w:rsidRDefault="00F819B0" w:rsidP="007D03EC">
            <w:pPr>
              <w:rPr>
                <w:rFonts w:cs="Arial"/>
              </w:rPr>
            </w:pPr>
            <w:r w:rsidRPr="00A244FD">
              <w:rPr>
                <w:rFonts w:cs="Arial"/>
              </w:rPr>
              <w:t>F</w:t>
            </w:r>
          </w:p>
        </w:tc>
        <w:tc>
          <w:tcPr>
            <w:tcW w:w="1103" w:type="dxa"/>
          </w:tcPr>
          <w:p w:rsidR="00F819B0" w:rsidRPr="00A244FD" w:rsidRDefault="00F819B0" w:rsidP="007D03EC">
            <w:pPr>
              <w:rPr>
                <w:rFonts w:cs="Arial"/>
              </w:rPr>
            </w:pPr>
            <w:r w:rsidRPr="00A244FD">
              <w:rPr>
                <w:rFonts w:cs="Arial"/>
              </w:rPr>
              <w:t>0-59</w:t>
            </w:r>
          </w:p>
        </w:tc>
      </w:tr>
    </w:tbl>
    <w:p w:rsidR="00DC21BD" w:rsidRDefault="00DC21BD">
      <w:pPr>
        <w:rPr>
          <w:rFonts w:cs="Arial"/>
          <w:b/>
        </w:rPr>
        <w:sectPr w:rsidR="00DC21BD" w:rsidSect="00A244FD">
          <w:footerReference w:type="default" r:id="rId35"/>
          <w:pgSz w:w="12240" w:h="15840"/>
          <w:pgMar w:top="576" w:right="720" w:bottom="576" w:left="720" w:header="720" w:footer="720" w:gutter="0"/>
          <w:cols w:space="720"/>
          <w:docGrid w:linePitch="360"/>
        </w:sectPr>
      </w:pPr>
    </w:p>
    <w:p w:rsidR="004F0243" w:rsidRDefault="00436AA0" w:rsidP="00691641">
      <w:pPr>
        <w:pStyle w:val="Heading1"/>
      </w:pPr>
      <w:r>
        <w:lastRenderedPageBreak/>
        <w:t>CTDL 1010 Fundamentals of Commercial Truck Driving</w:t>
      </w:r>
      <w:r w:rsidR="00533F4C">
        <w:t xml:space="preserve"> Lesson Plan</w:t>
      </w:r>
    </w:p>
    <w:p w:rsidR="00533F4C" w:rsidRPr="00AA5198" w:rsidRDefault="00533F4C" w:rsidP="00533F4C"/>
    <w:p w:rsidR="007D03EC" w:rsidRDefault="007D03EC" w:rsidP="00533F4C">
      <w:pPr>
        <w:rPr>
          <w:color w:val="FF0000"/>
        </w:rPr>
      </w:pPr>
    </w:p>
    <w:tbl>
      <w:tblPr>
        <w:tblStyle w:val="TableGrid"/>
        <w:tblW w:w="0" w:type="auto"/>
        <w:tblLook w:val="04A0" w:firstRow="1" w:lastRow="0" w:firstColumn="1" w:lastColumn="0" w:noHBand="0" w:noVBand="1"/>
        <w:tblCaption w:val="Lesson Plan"/>
        <w:tblDescription w:val="The lesson plan is organized by columns.  Column A displays the Date/Week of the Assignment.  Column B displays the Chapter and/or Lesson.  Column C displays the Content.  Column D displays the Assignment and Test Due Dates.  Column E displays the assignment's correlating Course Competency Area and General Education Competency Area.      "/>
      </w:tblPr>
      <w:tblGrid>
        <w:gridCol w:w="805"/>
        <w:gridCol w:w="2347"/>
        <w:gridCol w:w="4313"/>
        <w:gridCol w:w="2790"/>
      </w:tblGrid>
      <w:tr w:rsidR="00AA5198" w:rsidRPr="00AA5198" w:rsidTr="007D03EC">
        <w:trPr>
          <w:cantSplit/>
          <w:trHeight w:val="432"/>
          <w:tblHeader/>
        </w:trPr>
        <w:tc>
          <w:tcPr>
            <w:tcW w:w="805" w:type="dxa"/>
          </w:tcPr>
          <w:p w:rsidR="007D03EC" w:rsidRPr="00AA5198" w:rsidRDefault="007D03EC" w:rsidP="007D03EC">
            <w:pPr>
              <w:jc w:val="center"/>
              <w:rPr>
                <w:rFonts w:cs="Arial"/>
                <w:b/>
                <w:bCs/>
                <w:szCs w:val="24"/>
              </w:rPr>
            </w:pPr>
            <w:r w:rsidRPr="00AA5198">
              <w:rPr>
                <w:rFonts w:cs="Arial"/>
                <w:b/>
                <w:bCs/>
                <w:szCs w:val="24"/>
              </w:rPr>
              <w:t>Day</w:t>
            </w:r>
          </w:p>
        </w:tc>
        <w:tc>
          <w:tcPr>
            <w:tcW w:w="2347" w:type="dxa"/>
          </w:tcPr>
          <w:p w:rsidR="007D03EC" w:rsidRPr="00AA5198" w:rsidRDefault="007D03EC" w:rsidP="007D03EC">
            <w:pPr>
              <w:jc w:val="center"/>
              <w:rPr>
                <w:rFonts w:cs="Arial"/>
                <w:b/>
                <w:bCs/>
                <w:szCs w:val="24"/>
              </w:rPr>
            </w:pPr>
            <w:r w:rsidRPr="00AA5198">
              <w:rPr>
                <w:rFonts w:cs="Arial"/>
                <w:b/>
                <w:bCs/>
                <w:szCs w:val="24"/>
              </w:rPr>
              <w:t>Instructor Sources</w:t>
            </w:r>
          </w:p>
        </w:tc>
        <w:tc>
          <w:tcPr>
            <w:tcW w:w="4313" w:type="dxa"/>
          </w:tcPr>
          <w:p w:rsidR="007D03EC" w:rsidRPr="00AA5198" w:rsidRDefault="007D03EC" w:rsidP="007D03EC">
            <w:pPr>
              <w:jc w:val="center"/>
              <w:rPr>
                <w:rFonts w:cs="Arial"/>
                <w:b/>
                <w:bCs/>
                <w:szCs w:val="24"/>
              </w:rPr>
            </w:pPr>
            <w:r w:rsidRPr="00AA5198">
              <w:rPr>
                <w:rFonts w:cs="Arial"/>
                <w:b/>
                <w:bCs/>
                <w:szCs w:val="24"/>
              </w:rPr>
              <w:t>Content</w:t>
            </w:r>
          </w:p>
        </w:tc>
        <w:tc>
          <w:tcPr>
            <w:tcW w:w="2790" w:type="dxa"/>
          </w:tcPr>
          <w:p w:rsidR="007D03EC" w:rsidRPr="00AA5198" w:rsidRDefault="007D03EC" w:rsidP="007D03EC">
            <w:pPr>
              <w:jc w:val="center"/>
              <w:rPr>
                <w:rFonts w:cs="Arial"/>
                <w:b/>
                <w:bCs/>
                <w:szCs w:val="24"/>
              </w:rPr>
            </w:pPr>
            <w:r w:rsidRPr="00AA5198">
              <w:rPr>
                <w:rFonts w:cs="Arial"/>
                <w:b/>
                <w:bCs/>
                <w:szCs w:val="24"/>
              </w:rPr>
              <w:t>Competency Area</w:t>
            </w:r>
            <w:r w:rsidR="0095701F" w:rsidRPr="00AA5198">
              <w:rPr>
                <w:rFonts w:cs="Arial"/>
                <w:b/>
                <w:bCs/>
                <w:szCs w:val="24"/>
              </w:rPr>
              <w:t>s</w:t>
            </w:r>
          </w:p>
        </w:tc>
      </w:tr>
      <w:tr w:rsidR="00AA5198" w:rsidRPr="00AA5198" w:rsidTr="007D03EC">
        <w:trPr>
          <w:cantSplit/>
          <w:trHeight w:val="432"/>
        </w:trPr>
        <w:tc>
          <w:tcPr>
            <w:tcW w:w="805" w:type="dxa"/>
          </w:tcPr>
          <w:p w:rsidR="007D03EC" w:rsidRPr="00AA5198" w:rsidRDefault="007D03EC" w:rsidP="007D03EC">
            <w:pPr>
              <w:rPr>
                <w:rFonts w:cs="Arial"/>
                <w:bCs/>
                <w:szCs w:val="24"/>
              </w:rPr>
            </w:pPr>
            <w:r w:rsidRPr="00AA5198">
              <w:rPr>
                <w:rFonts w:cs="Arial"/>
                <w:bCs/>
                <w:szCs w:val="24"/>
              </w:rPr>
              <w:t>Day 1-2</w:t>
            </w:r>
          </w:p>
          <w:p w:rsidR="007D03EC" w:rsidRPr="00AA5198" w:rsidRDefault="007D03EC" w:rsidP="007D03EC">
            <w:pPr>
              <w:rPr>
                <w:rFonts w:cs="Arial"/>
                <w:bCs/>
                <w:szCs w:val="24"/>
              </w:rPr>
            </w:pPr>
          </w:p>
        </w:tc>
        <w:tc>
          <w:tcPr>
            <w:tcW w:w="2347" w:type="dxa"/>
          </w:tcPr>
          <w:p w:rsidR="007D03EC" w:rsidRPr="00AA5198" w:rsidRDefault="007D03EC" w:rsidP="007D03EC">
            <w:pPr>
              <w:jc w:val="center"/>
              <w:rPr>
                <w:rFonts w:cs="Arial"/>
                <w:bCs/>
                <w:szCs w:val="24"/>
              </w:rPr>
            </w:pPr>
            <w:r w:rsidRPr="00AA5198">
              <w:rPr>
                <w:rFonts w:cs="Arial"/>
                <w:bCs/>
                <w:szCs w:val="24"/>
              </w:rPr>
              <w:t xml:space="preserve">Federal Motor Carrier Safety </w:t>
            </w:r>
            <w:r w:rsidR="005A789E" w:rsidRPr="00AA5198">
              <w:rPr>
                <w:rFonts w:cs="Arial"/>
                <w:bCs/>
                <w:szCs w:val="24"/>
              </w:rPr>
              <w:t>Adminis</w:t>
            </w:r>
            <w:r w:rsidR="00695C41" w:rsidRPr="00AA5198">
              <w:rPr>
                <w:rFonts w:cs="Arial"/>
                <w:bCs/>
                <w:szCs w:val="24"/>
              </w:rPr>
              <w:t>tra</w:t>
            </w:r>
            <w:r w:rsidR="005A789E" w:rsidRPr="00AA5198">
              <w:rPr>
                <w:rFonts w:cs="Arial"/>
                <w:bCs/>
                <w:szCs w:val="24"/>
              </w:rPr>
              <w:t xml:space="preserve">tion (FMCSA) </w:t>
            </w:r>
            <w:r w:rsidRPr="00AA5198">
              <w:rPr>
                <w:rFonts w:cs="Arial"/>
                <w:bCs/>
                <w:szCs w:val="24"/>
              </w:rPr>
              <w:t>Regulations Handbook</w:t>
            </w:r>
            <w:r w:rsidR="00ED4073" w:rsidRPr="00AA5198">
              <w:rPr>
                <w:rFonts w:cs="Arial"/>
                <w:bCs/>
                <w:szCs w:val="24"/>
              </w:rPr>
              <w:t xml:space="preserve"> </w:t>
            </w:r>
          </w:p>
          <w:p w:rsidR="00ED4073" w:rsidRPr="00AA5198" w:rsidRDefault="00ED4073" w:rsidP="007D03EC">
            <w:pPr>
              <w:jc w:val="center"/>
              <w:rPr>
                <w:rFonts w:cs="Arial"/>
                <w:bCs/>
                <w:szCs w:val="24"/>
              </w:rPr>
            </w:pPr>
          </w:p>
          <w:p w:rsidR="007D03EC" w:rsidRPr="00AA5198" w:rsidRDefault="007D03EC" w:rsidP="007D03EC">
            <w:pPr>
              <w:jc w:val="center"/>
              <w:rPr>
                <w:rFonts w:cs="Arial"/>
                <w:bCs/>
                <w:szCs w:val="24"/>
              </w:rPr>
            </w:pPr>
            <w:r w:rsidRPr="00AA5198">
              <w:rPr>
                <w:rFonts w:cs="Arial"/>
                <w:bCs/>
                <w:szCs w:val="24"/>
              </w:rPr>
              <w:t>Entry-Level Driver Training</w:t>
            </w:r>
            <w:r w:rsidR="00F76173" w:rsidRPr="00AA5198">
              <w:rPr>
                <w:rFonts w:cs="Arial"/>
                <w:bCs/>
                <w:szCs w:val="24"/>
              </w:rPr>
              <w:t xml:space="preserve"> (ELDT)</w:t>
            </w:r>
            <w:r w:rsidRPr="00AA5198">
              <w:rPr>
                <w:rFonts w:cs="Arial"/>
                <w:bCs/>
                <w:szCs w:val="24"/>
              </w:rPr>
              <w:t xml:space="preserve"> Minimum Federal Curricula Requirements</w:t>
            </w:r>
          </w:p>
          <w:p w:rsidR="007D03EC" w:rsidRPr="00AA5198" w:rsidRDefault="007D03EC" w:rsidP="007D03EC">
            <w:pPr>
              <w:jc w:val="center"/>
              <w:rPr>
                <w:rFonts w:cs="Arial"/>
                <w:bCs/>
                <w:szCs w:val="24"/>
              </w:rPr>
            </w:pPr>
          </w:p>
          <w:p w:rsidR="007D03EC" w:rsidRPr="00AA5198" w:rsidRDefault="007D03EC" w:rsidP="007D03EC">
            <w:pPr>
              <w:jc w:val="center"/>
              <w:rPr>
                <w:rFonts w:cs="Arial"/>
                <w:bCs/>
                <w:szCs w:val="24"/>
              </w:rPr>
            </w:pPr>
            <w:r w:rsidRPr="00AA5198">
              <w:rPr>
                <w:rFonts w:cs="Arial"/>
                <w:bCs/>
                <w:szCs w:val="24"/>
              </w:rPr>
              <w:t>TCSG State Standards</w:t>
            </w:r>
          </w:p>
        </w:tc>
        <w:tc>
          <w:tcPr>
            <w:tcW w:w="4313" w:type="dxa"/>
          </w:tcPr>
          <w:p w:rsidR="007D03EC" w:rsidRPr="00AA5198" w:rsidRDefault="0099418A" w:rsidP="0099418A">
            <w:pPr>
              <w:pStyle w:val="ListParagraph"/>
              <w:numPr>
                <w:ilvl w:val="0"/>
                <w:numId w:val="28"/>
              </w:numPr>
              <w:rPr>
                <w:rFonts w:cs="Calibri"/>
                <w:bCs/>
                <w:szCs w:val="24"/>
              </w:rPr>
            </w:pPr>
            <w:r w:rsidRPr="00AA5198">
              <w:rPr>
                <w:rFonts w:cs="Calibri"/>
                <w:bCs/>
                <w:szCs w:val="24"/>
              </w:rPr>
              <w:t>First Day Paperwork</w:t>
            </w:r>
          </w:p>
          <w:p w:rsidR="00B5128C" w:rsidRPr="00AA5198" w:rsidRDefault="0099418A" w:rsidP="00B5128C">
            <w:pPr>
              <w:pStyle w:val="ListParagraph"/>
              <w:numPr>
                <w:ilvl w:val="0"/>
                <w:numId w:val="28"/>
              </w:numPr>
              <w:rPr>
                <w:rFonts w:cs="Calibri"/>
                <w:bCs/>
                <w:szCs w:val="24"/>
              </w:rPr>
            </w:pPr>
            <w:r w:rsidRPr="00AA5198">
              <w:rPr>
                <w:rFonts w:cs="Calibri"/>
                <w:bCs/>
                <w:szCs w:val="24"/>
              </w:rPr>
              <w:t>E-Log and Paper Log Introduction</w:t>
            </w:r>
          </w:p>
          <w:p w:rsidR="0099418A" w:rsidRPr="00AA5198" w:rsidRDefault="0099418A" w:rsidP="0099418A">
            <w:pPr>
              <w:pStyle w:val="ListParagraph"/>
              <w:numPr>
                <w:ilvl w:val="0"/>
                <w:numId w:val="28"/>
              </w:numPr>
              <w:rPr>
                <w:rFonts w:cs="Calibri"/>
                <w:bCs/>
                <w:szCs w:val="24"/>
              </w:rPr>
            </w:pPr>
            <w:r w:rsidRPr="00AA5198">
              <w:rPr>
                <w:rFonts w:cs="Calibri"/>
                <w:bCs/>
                <w:szCs w:val="24"/>
              </w:rPr>
              <w:t xml:space="preserve">A1.1 Basic Operation </w:t>
            </w:r>
            <w:r w:rsidR="00D079E3" w:rsidRPr="00AA5198">
              <w:rPr>
                <w:rFonts w:cs="Calibri"/>
                <w:bCs/>
                <w:szCs w:val="24"/>
              </w:rPr>
              <w:t xml:space="preserve">ELDT </w:t>
            </w:r>
            <w:r w:rsidR="00FF69E7" w:rsidRPr="00AA5198">
              <w:rPr>
                <w:rFonts w:cs="Calibri"/>
                <w:bCs/>
                <w:szCs w:val="24"/>
              </w:rPr>
              <w:t xml:space="preserve">Theory </w:t>
            </w:r>
            <w:r w:rsidRPr="00AA5198">
              <w:rPr>
                <w:rFonts w:cs="Calibri"/>
                <w:bCs/>
                <w:szCs w:val="24"/>
              </w:rPr>
              <w:t>Curriculum</w:t>
            </w:r>
            <w:r w:rsidR="00B5128C" w:rsidRPr="00AA5198">
              <w:rPr>
                <w:rFonts w:cs="Calibri"/>
                <w:bCs/>
                <w:szCs w:val="24"/>
              </w:rPr>
              <w:t xml:space="preserve"> –</w:t>
            </w:r>
            <w:r w:rsidR="0020428D" w:rsidRPr="00AA5198">
              <w:rPr>
                <w:rFonts w:cs="Calibri"/>
                <w:bCs/>
                <w:szCs w:val="24"/>
              </w:rPr>
              <w:t xml:space="preserve"> Text Chapters 1-7</w:t>
            </w:r>
          </w:p>
          <w:p w:rsidR="0099418A" w:rsidRPr="00AA5198" w:rsidRDefault="0099418A" w:rsidP="0099418A">
            <w:pPr>
              <w:pStyle w:val="ListParagraph"/>
              <w:numPr>
                <w:ilvl w:val="0"/>
                <w:numId w:val="28"/>
              </w:numPr>
              <w:rPr>
                <w:rFonts w:cs="Calibri"/>
                <w:bCs/>
                <w:szCs w:val="24"/>
              </w:rPr>
            </w:pPr>
            <w:r w:rsidRPr="00AA5198">
              <w:rPr>
                <w:rFonts w:cs="Calibri"/>
                <w:bCs/>
                <w:szCs w:val="24"/>
              </w:rPr>
              <w:t xml:space="preserve">A1.1 </w:t>
            </w:r>
            <w:r w:rsidR="00B5128C" w:rsidRPr="00AA5198">
              <w:rPr>
                <w:rFonts w:cs="Calibri"/>
                <w:bCs/>
                <w:szCs w:val="24"/>
              </w:rPr>
              <w:t xml:space="preserve">Theory </w:t>
            </w:r>
            <w:r w:rsidRPr="00AA5198">
              <w:rPr>
                <w:rFonts w:cs="Calibri"/>
                <w:bCs/>
                <w:szCs w:val="24"/>
              </w:rPr>
              <w:t>Assessment (Test)</w:t>
            </w:r>
          </w:p>
          <w:p w:rsidR="0099418A" w:rsidRPr="00AA5198" w:rsidRDefault="0099418A" w:rsidP="007D03EC">
            <w:pPr>
              <w:rPr>
                <w:rFonts w:cs="Calibri"/>
                <w:bCs/>
                <w:szCs w:val="24"/>
              </w:rPr>
            </w:pPr>
          </w:p>
          <w:p w:rsidR="0099418A" w:rsidRPr="00AA5198" w:rsidRDefault="0099418A" w:rsidP="007D03EC">
            <w:pPr>
              <w:rPr>
                <w:rFonts w:cs="Calibri"/>
                <w:bCs/>
                <w:szCs w:val="24"/>
              </w:rPr>
            </w:pPr>
          </w:p>
          <w:p w:rsidR="0099418A" w:rsidRPr="00AA5198" w:rsidRDefault="0099418A" w:rsidP="007D03EC">
            <w:pPr>
              <w:rPr>
                <w:rFonts w:cs="Calibri"/>
                <w:bCs/>
                <w:szCs w:val="24"/>
              </w:rPr>
            </w:pPr>
          </w:p>
        </w:tc>
        <w:tc>
          <w:tcPr>
            <w:tcW w:w="2790" w:type="dxa"/>
          </w:tcPr>
          <w:p w:rsidR="007D03EC" w:rsidRPr="00AA5198" w:rsidRDefault="007D03EC" w:rsidP="007D03EC">
            <w:pPr>
              <w:jc w:val="center"/>
              <w:rPr>
                <w:rFonts w:asciiTheme="minorHAnsi" w:hAnsiTheme="minorHAnsi" w:cstheme="minorHAnsi"/>
                <w:szCs w:val="24"/>
              </w:rPr>
            </w:pPr>
          </w:p>
          <w:p w:rsidR="00695C41" w:rsidRPr="00AA5198" w:rsidRDefault="0099418A" w:rsidP="00695C41">
            <w:pPr>
              <w:jc w:val="center"/>
              <w:rPr>
                <w:rFonts w:asciiTheme="minorHAnsi" w:hAnsiTheme="minorHAnsi" w:cstheme="minorHAnsi"/>
                <w:szCs w:val="24"/>
              </w:rPr>
            </w:pPr>
            <w:r w:rsidRPr="00AA5198">
              <w:rPr>
                <w:rFonts w:asciiTheme="minorHAnsi" w:hAnsiTheme="minorHAnsi" w:cstheme="minorHAnsi"/>
                <w:szCs w:val="24"/>
              </w:rPr>
              <w:t>ELDT:  A1.1</w:t>
            </w:r>
          </w:p>
          <w:p w:rsidR="00695C41" w:rsidRPr="00AA5198" w:rsidRDefault="0099418A" w:rsidP="00695C41">
            <w:pPr>
              <w:jc w:val="center"/>
              <w:rPr>
                <w:rFonts w:asciiTheme="minorHAnsi" w:hAnsiTheme="minorHAnsi" w:cstheme="minorHAnsi"/>
                <w:szCs w:val="24"/>
              </w:rPr>
            </w:pPr>
            <w:r w:rsidRPr="00AA5198">
              <w:rPr>
                <w:rFonts w:asciiTheme="minorHAnsi" w:hAnsiTheme="minorHAnsi" w:cstheme="minorHAnsi"/>
                <w:szCs w:val="24"/>
              </w:rPr>
              <w:t>CC: 1</w:t>
            </w:r>
          </w:p>
          <w:p w:rsidR="00695C41" w:rsidRPr="00AA5198" w:rsidRDefault="00695C41" w:rsidP="00695C41">
            <w:pPr>
              <w:jc w:val="center"/>
              <w:rPr>
                <w:rFonts w:asciiTheme="minorHAnsi" w:hAnsiTheme="minorHAnsi" w:cstheme="minorHAnsi"/>
                <w:szCs w:val="24"/>
              </w:rPr>
            </w:pPr>
            <w:r w:rsidRPr="00AA5198">
              <w:rPr>
                <w:rFonts w:asciiTheme="minorHAnsi" w:hAnsiTheme="minorHAnsi" w:cstheme="minorHAnsi"/>
                <w:szCs w:val="24"/>
              </w:rPr>
              <w:t xml:space="preserve">GC: </w:t>
            </w:r>
            <w:proofErr w:type="spellStart"/>
            <w:proofErr w:type="gramStart"/>
            <w:r w:rsidRPr="00AA5198">
              <w:rPr>
                <w:rFonts w:asciiTheme="minorHAnsi" w:hAnsiTheme="minorHAnsi" w:cstheme="minorHAnsi"/>
                <w:szCs w:val="24"/>
              </w:rPr>
              <w:t>a,b</w:t>
            </w:r>
            <w:proofErr w:type="gramEnd"/>
            <w:r w:rsidRPr="00AA5198">
              <w:rPr>
                <w:rFonts w:asciiTheme="minorHAnsi" w:hAnsiTheme="minorHAnsi" w:cstheme="minorHAnsi"/>
                <w:szCs w:val="24"/>
              </w:rPr>
              <w:t>,c</w:t>
            </w:r>
            <w:proofErr w:type="spellEnd"/>
          </w:p>
          <w:p w:rsidR="007D03EC" w:rsidRPr="00AA5198" w:rsidRDefault="007D03EC" w:rsidP="007D03EC">
            <w:pPr>
              <w:jc w:val="center"/>
              <w:rPr>
                <w:rFonts w:asciiTheme="minorHAnsi" w:hAnsiTheme="minorHAnsi" w:cstheme="minorHAnsi"/>
                <w:bCs/>
                <w:szCs w:val="24"/>
              </w:rPr>
            </w:pPr>
          </w:p>
        </w:tc>
      </w:tr>
      <w:tr w:rsidR="00AA5198" w:rsidRPr="00AA5198" w:rsidTr="007D03EC">
        <w:trPr>
          <w:cantSplit/>
          <w:trHeight w:val="432"/>
        </w:trPr>
        <w:tc>
          <w:tcPr>
            <w:tcW w:w="805" w:type="dxa"/>
          </w:tcPr>
          <w:p w:rsidR="007D03EC" w:rsidRPr="00AA5198" w:rsidRDefault="007D03EC" w:rsidP="007D03EC">
            <w:pPr>
              <w:rPr>
                <w:rFonts w:cs="Arial"/>
                <w:bCs/>
                <w:szCs w:val="24"/>
              </w:rPr>
            </w:pPr>
            <w:r w:rsidRPr="00AA5198">
              <w:rPr>
                <w:rFonts w:cs="Arial"/>
                <w:bCs/>
                <w:szCs w:val="24"/>
              </w:rPr>
              <w:t>Day 2-3</w:t>
            </w:r>
          </w:p>
        </w:tc>
        <w:tc>
          <w:tcPr>
            <w:tcW w:w="2347" w:type="dxa"/>
          </w:tcPr>
          <w:p w:rsidR="005A789E" w:rsidRPr="00AA5198" w:rsidRDefault="005A789E" w:rsidP="007D03EC">
            <w:pPr>
              <w:jc w:val="center"/>
              <w:rPr>
                <w:rFonts w:cs="Arial"/>
                <w:bCs/>
                <w:szCs w:val="24"/>
              </w:rPr>
            </w:pPr>
            <w:r w:rsidRPr="00AA5198">
              <w:rPr>
                <w:rFonts w:cs="Arial"/>
                <w:bCs/>
                <w:szCs w:val="24"/>
              </w:rPr>
              <w:t>FMCSA Handbook</w:t>
            </w:r>
          </w:p>
          <w:p w:rsidR="005A789E" w:rsidRPr="00AA5198" w:rsidRDefault="005A789E" w:rsidP="007D03EC">
            <w:pPr>
              <w:jc w:val="center"/>
              <w:rPr>
                <w:rFonts w:cs="Arial"/>
                <w:bCs/>
                <w:szCs w:val="24"/>
              </w:rPr>
            </w:pPr>
          </w:p>
          <w:p w:rsidR="007D03EC" w:rsidRPr="00AA5198" w:rsidRDefault="00B229FE" w:rsidP="007D03EC">
            <w:pPr>
              <w:jc w:val="center"/>
              <w:rPr>
                <w:rFonts w:cs="Arial"/>
                <w:bCs/>
                <w:szCs w:val="24"/>
              </w:rPr>
            </w:pPr>
            <w:r w:rsidRPr="00AA5198">
              <w:rPr>
                <w:rFonts w:cs="Arial"/>
                <w:bCs/>
                <w:szCs w:val="24"/>
              </w:rPr>
              <w:t>ELDT Textbook</w:t>
            </w:r>
          </w:p>
          <w:p w:rsidR="00B229FE" w:rsidRPr="00AA5198" w:rsidRDefault="00B229FE" w:rsidP="007D03EC">
            <w:pPr>
              <w:jc w:val="center"/>
              <w:rPr>
                <w:rFonts w:cs="Arial"/>
                <w:bCs/>
                <w:szCs w:val="24"/>
              </w:rPr>
            </w:pPr>
          </w:p>
          <w:p w:rsidR="007D03EC" w:rsidRPr="00AA5198" w:rsidRDefault="007D03EC" w:rsidP="007D03EC">
            <w:pPr>
              <w:jc w:val="center"/>
              <w:rPr>
                <w:rFonts w:cs="Arial"/>
                <w:bCs/>
                <w:szCs w:val="24"/>
              </w:rPr>
            </w:pPr>
            <w:r w:rsidRPr="00AA5198">
              <w:rPr>
                <w:rFonts w:cs="Arial"/>
                <w:bCs/>
                <w:szCs w:val="24"/>
              </w:rPr>
              <w:t>TCSG State Standards</w:t>
            </w:r>
          </w:p>
        </w:tc>
        <w:tc>
          <w:tcPr>
            <w:tcW w:w="4313" w:type="dxa"/>
          </w:tcPr>
          <w:p w:rsidR="007B2D96" w:rsidRPr="00AA5198" w:rsidRDefault="00AE5275" w:rsidP="00AE5275">
            <w:pPr>
              <w:pStyle w:val="ListParagraph"/>
              <w:numPr>
                <w:ilvl w:val="0"/>
                <w:numId w:val="28"/>
              </w:numPr>
              <w:rPr>
                <w:rFonts w:cs="Calibri"/>
                <w:bCs/>
                <w:szCs w:val="24"/>
              </w:rPr>
            </w:pPr>
            <w:r w:rsidRPr="00AA5198">
              <w:rPr>
                <w:rFonts w:cs="Calibri"/>
                <w:bCs/>
                <w:szCs w:val="24"/>
              </w:rPr>
              <w:t xml:space="preserve">A1.2 </w:t>
            </w:r>
            <w:r w:rsidR="007B2D96" w:rsidRPr="00AA5198">
              <w:rPr>
                <w:rFonts w:cs="Calibri"/>
                <w:bCs/>
                <w:szCs w:val="24"/>
              </w:rPr>
              <w:t xml:space="preserve">Safe Operation Procedures </w:t>
            </w:r>
            <w:r w:rsidR="00D079E3" w:rsidRPr="00AA5198">
              <w:rPr>
                <w:rFonts w:cs="Calibri"/>
                <w:bCs/>
                <w:szCs w:val="24"/>
              </w:rPr>
              <w:t xml:space="preserve">ELDT </w:t>
            </w:r>
            <w:r w:rsidR="00FF69E7" w:rsidRPr="00AA5198">
              <w:rPr>
                <w:rFonts w:cs="Calibri"/>
                <w:bCs/>
                <w:szCs w:val="24"/>
              </w:rPr>
              <w:t xml:space="preserve">Theory </w:t>
            </w:r>
            <w:r w:rsidR="007B2D96" w:rsidRPr="00AA5198">
              <w:rPr>
                <w:rFonts w:cs="Calibri"/>
                <w:bCs/>
                <w:szCs w:val="24"/>
              </w:rPr>
              <w:t>Curriculum</w:t>
            </w:r>
            <w:r w:rsidR="00824068" w:rsidRPr="00AA5198">
              <w:rPr>
                <w:rFonts w:cs="Calibri"/>
                <w:bCs/>
                <w:szCs w:val="24"/>
              </w:rPr>
              <w:t xml:space="preserve"> – Text Chapters 8-14</w:t>
            </w:r>
          </w:p>
          <w:p w:rsidR="00AE5275" w:rsidRPr="00AA5198" w:rsidRDefault="007B2D96" w:rsidP="00AE5275">
            <w:pPr>
              <w:pStyle w:val="ListParagraph"/>
              <w:numPr>
                <w:ilvl w:val="0"/>
                <w:numId w:val="28"/>
              </w:numPr>
              <w:rPr>
                <w:rFonts w:cs="Calibri"/>
                <w:bCs/>
                <w:szCs w:val="24"/>
              </w:rPr>
            </w:pPr>
            <w:r w:rsidRPr="00AA5198">
              <w:rPr>
                <w:rFonts w:cs="Calibri"/>
                <w:bCs/>
                <w:szCs w:val="24"/>
              </w:rPr>
              <w:t xml:space="preserve">A1.2 </w:t>
            </w:r>
            <w:r w:rsidR="00B5128C" w:rsidRPr="00AA5198">
              <w:rPr>
                <w:rFonts w:cs="Calibri"/>
                <w:bCs/>
                <w:szCs w:val="24"/>
              </w:rPr>
              <w:t xml:space="preserve">Theory </w:t>
            </w:r>
            <w:r w:rsidRPr="00AA5198">
              <w:rPr>
                <w:rFonts w:cs="Calibri"/>
                <w:bCs/>
                <w:szCs w:val="24"/>
              </w:rPr>
              <w:t xml:space="preserve">Assessment (Test) </w:t>
            </w:r>
          </w:p>
          <w:p w:rsidR="007D03EC" w:rsidRPr="00AA5198" w:rsidRDefault="007D03EC" w:rsidP="007D03EC">
            <w:pPr>
              <w:rPr>
                <w:rFonts w:cs="Calibri"/>
                <w:bCs/>
                <w:szCs w:val="24"/>
              </w:rPr>
            </w:pPr>
          </w:p>
        </w:tc>
        <w:tc>
          <w:tcPr>
            <w:tcW w:w="2790" w:type="dxa"/>
          </w:tcPr>
          <w:p w:rsidR="007D03EC" w:rsidRPr="00AA5198" w:rsidRDefault="007D03EC" w:rsidP="007D03EC">
            <w:pPr>
              <w:jc w:val="center"/>
              <w:rPr>
                <w:rFonts w:asciiTheme="minorHAnsi" w:hAnsiTheme="minorHAnsi" w:cstheme="minorHAnsi"/>
                <w:szCs w:val="24"/>
              </w:rPr>
            </w:pPr>
          </w:p>
          <w:p w:rsidR="00B229FE" w:rsidRPr="00AA5198" w:rsidRDefault="007B2D96" w:rsidP="007D03EC">
            <w:pPr>
              <w:jc w:val="center"/>
              <w:rPr>
                <w:rFonts w:asciiTheme="minorHAnsi" w:hAnsiTheme="minorHAnsi" w:cstheme="minorHAnsi"/>
                <w:szCs w:val="24"/>
              </w:rPr>
            </w:pPr>
            <w:r w:rsidRPr="00AA5198">
              <w:rPr>
                <w:rFonts w:asciiTheme="minorHAnsi" w:hAnsiTheme="minorHAnsi" w:cstheme="minorHAnsi"/>
                <w:szCs w:val="24"/>
              </w:rPr>
              <w:t>ELDT:  A1.1, A1.2</w:t>
            </w:r>
          </w:p>
          <w:p w:rsidR="007D03EC" w:rsidRPr="00AA5198" w:rsidRDefault="007B2D96" w:rsidP="007D03EC">
            <w:pPr>
              <w:jc w:val="center"/>
              <w:rPr>
                <w:rFonts w:asciiTheme="minorHAnsi" w:hAnsiTheme="minorHAnsi" w:cstheme="minorHAnsi"/>
                <w:szCs w:val="24"/>
              </w:rPr>
            </w:pPr>
            <w:r w:rsidRPr="00AA5198">
              <w:rPr>
                <w:rFonts w:asciiTheme="minorHAnsi" w:hAnsiTheme="minorHAnsi" w:cstheme="minorHAnsi"/>
                <w:szCs w:val="24"/>
              </w:rPr>
              <w:t>CC: 1, 2</w:t>
            </w:r>
          </w:p>
          <w:p w:rsidR="007D03EC" w:rsidRPr="00AA5198" w:rsidRDefault="007D03EC" w:rsidP="007D03EC">
            <w:pPr>
              <w:jc w:val="center"/>
              <w:rPr>
                <w:rFonts w:asciiTheme="minorHAnsi" w:hAnsiTheme="minorHAnsi" w:cstheme="minorHAnsi"/>
                <w:szCs w:val="24"/>
              </w:rPr>
            </w:pPr>
            <w:r w:rsidRPr="00AA5198">
              <w:rPr>
                <w:rFonts w:asciiTheme="minorHAnsi" w:hAnsiTheme="minorHAnsi" w:cstheme="minorHAnsi"/>
                <w:szCs w:val="24"/>
              </w:rPr>
              <w:t xml:space="preserve">GC: </w:t>
            </w:r>
            <w:proofErr w:type="spellStart"/>
            <w:proofErr w:type="gramStart"/>
            <w:r w:rsidRPr="00AA5198">
              <w:rPr>
                <w:rFonts w:asciiTheme="minorHAnsi" w:hAnsiTheme="minorHAnsi" w:cstheme="minorHAnsi"/>
                <w:szCs w:val="24"/>
              </w:rPr>
              <w:t>a,b</w:t>
            </w:r>
            <w:proofErr w:type="gramEnd"/>
            <w:r w:rsidRPr="00AA5198">
              <w:rPr>
                <w:rFonts w:asciiTheme="minorHAnsi" w:hAnsiTheme="minorHAnsi" w:cstheme="minorHAnsi"/>
                <w:szCs w:val="24"/>
              </w:rPr>
              <w:t>,c</w:t>
            </w:r>
            <w:proofErr w:type="spellEnd"/>
          </w:p>
          <w:p w:rsidR="007D03EC" w:rsidRPr="00AA5198" w:rsidRDefault="007D03EC" w:rsidP="007D03EC">
            <w:pPr>
              <w:jc w:val="center"/>
              <w:rPr>
                <w:rFonts w:cs="Arial"/>
                <w:bCs/>
                <w:szCs w:val="24"/>
              </w:rPr>
            </w:pPr>
          </w:p>
        </w:tc>
      </w:tr>
      <w:tr w:rsidR="00AA5198" w:rsidRPr="00AA5198" w:rsidTr="007D03EC">
        <w:trPr>
          <w:cantSplit/>
          <w:trHeight w:val="432"/>
        </w:trPr>
        <w:tc>
          <w:tcPr>
            <w:tcW w:w="805" w:type="dxa"/>
          </w:tcPr>
          <w:p w:rsidR="00B229FE" w:rsidRPr="00AA5198" w:rsidRDefault="00B229FE" w:rsidP="00B229FE">
            <w:pPr>
              <w:rPr>
                <w:rFonts w:cs="Arial"/>
                <w:bCs/>
                <w:szCs w:val="24"/>
              </w:rPr>
            </w:pPr>
            <w:r w:rsidRPr="00AA5198">
              <w:rPr>
                <w:rFonts w:cs="Arial"/>
                <w:bCs/>
                <w:szCs w:val="24"/>
              </w:rPr>
              <w:t>Day 3-4</w:t>
            </w:r>
          </w:p>
        </w:tc>
        <w:tc>
          <w:tcPr>
            <w:tcW w:w="2347" w:type="dxa"/>
          </w:tcPr>
          <w:p w:rsidR="005A789E" w:rsidRPr="00AA5198" w:rsidRDefault="005A789E" w:rsidP="005A789E">
            <w:pPr>
              <w:jc w:val="center"/>
              <w:rPr>
                <w:rFonts w:cs="Arial"/>
                <w:bCs/>
                <w:szCs w:val="24"/>
              </w:rPr>
            </w:pPr>
            <w:r w:rsidRPr="00AA5198">
              <w:rPr>
                <w:rFonts w:cs="Arial"/>
                <w:bCs/>
                <w:szCs w:val="24"/>
              </w:rPr>
              <w:t>FMCSA Handbook</w:t>
            </w:r>
          </w:p>
          <w:p w:rsidR="005A789E" w:rsidRPr="00AA5198" w:rsidRDefault="005A789E" w:rsidP="00B229FE">
            <w:pPr>
              <w:jc w:val="center"/>
              <w:rPr>
                <w:rFonts w:cs="Arial"/>
                <w:bCs/>
                <w:szCs w:val="24"/>
              </w:rPr>
            </w:pPr>
          </w:p>
          <w:p w:rsidR="00B229FE" w:rsidRPr="00AA5198" w:rsidRDefault="00B229FE" w:rsidP="00B229FE">
            <w:pPr>
              <w:jc w:val="center"/>
              <w:rPr>
                <w:rFonts w:cs="Arial"/>
                <w:bCs/>
                <w:szCs w:val="24"/>
              </w:rPr>
            </w:pPr>
            <w:r w:rsidRPr="00AA5198">
              <w:rPr>
                <w:rFonts w:cs="Arial"/>
                <w:bCs/>
                <w:szCs w:val="24"/>
              </w:rPr>
              <w:t>ELDT Textbook</w:t>
            </w:r>
          </w:p>
          <w:p w:rsidR="00B229FE" w:rsidRPr="00AA5198" w:rsidRDefault="00B229FE" w:rsidP="00B229FE">
            <w:pPr>
              <w:jc w:val="center"/>
              <w:rPr>
                <w:rFonts w:cs="Arial"/>
                <w:bCs/>
                <w:szCs w:val="24"/>
              </w:rPr>
            </w:pPr>
          </w:p>
          <w:p w:rsidR="00B229FE" w:rsidRPr="00AA5198" w:rsidRDefault="00B229FE" w:rsidP="00B229FE">
            <w:pPr>
              <w:jc w:val="center"/>
              <w:rPr>
                <w:rFonts w:cs="Arial"/>
                <w:bCs/>
                <w:szCs w:val="24"/>
              </w:rPr>
            </w:pPr>
            <w:r w:rsidRPr="00AA5198">
              <w:rPr>
                <w:rFonts w:cs="Arial"/>
                <w:bCs/>
                <w:szCs w:val="24"/>
              </w:rPr>
              <w:t>TCSG State Standards</w:t>
            </w:r>
          </w:p>
        </w:tc>
        <w:tc>
          <w:tcPr>
            <w:tcW w:w="4313" w:type="dxa"/>
          </w:tcPr>
          <w:p w:rsidR="007B2D96" w:rsidRPr="00AA5198" w:rsidRDefault="007B2D96" w:rsidP="007B2D96">
            <w:pPr>
              <w:pStyle w:val="ListParagraph"/>
              <w:numPr>
                <w:ilvl w:val="0"/>
                <w:numId w:val="28"/>
              </w:numPr>
              <w:rPr>
                <w:rFonts w:cs="Calibri"/>
                <w:bCs/>
                <w:szCs w:val="24"/>
              </w:rPr>
            </w:pPr>
            <w:r w:rsidRPr="00AA5198">
              <w:rPr>
                <w:rFonts w:cs="Calibri"/>
                <w:bCs/>
                <w:szCs w:val="24"/>
              </w:rPr>
              <w:t xml:space="preserve">A1.3 </w:t>
            </w:r>
            <w:r w:rsidR="00C114FE" w:rsidRPr="00AA5198">
              <w:rPr>
                <w:rFonts w:cs="Calibri"/>
                <w:bCs/>
                <w:szCs w:val="24"/>
              </w:rPr>
              <w:t xml:space="preserve">Advanced Operating Practices </w:t>
            </w:r>
            <w:r w:rsidR="00D079E3" w:rsidRPr="00AA5198">
              <w:rPr>
                <w:rFonts w:cs="Calibri"/>
                <w:bCs/>
                <w:szCs w:val="24"/>
              </w:rPr>
              <w:t xml:space="preserve">ELDT </w:t>
            </w:r>
            <w:r w:rsidR="00FF69E7" w:rsidRPr="00AA5198">
              <w:rPr>
                <w:rFonts w:cs="Calibri"/>
                <w:bCs/>
                <w:szCs w:val="24"/>
              </w:rPr>
              <w:t xml:space="preserve">Theory </w:t>
            </w:r>
            <w:r w:rsidR="00C114FE" w:rsidRPr="00AA5198">
              <w:rPr>
                <w:rFonts w:cs="Calibri"/>
                <w:bCs/>
                <w:szCs w:val="24"/>
              </w:rPr>
              <w:t>Curriculum</w:t>
            </w:r>
            <w:r w:rsidR="00A816EF" w:rsidRPr="00AA5198">
              <w:rPr>
                <w:rFonts w:cs="Calibri"/>
                <w:bCs/>
                <w:szCs w:val="24"/>
              </w:rPr>
              <w:t xml:space="preserve"> – Text Chapters 15-17</w:t>
            </w:r>
          </w:p>
          <w:p w:rsidR="00D079E3" w:rsidRPr="00AA5198" w:rsidRDefault="00D079E3" w:rsidP="007B2D96">
            <w:pPr>
              <w:pStyle w:val="ListParagraph"/>
              <w:numPr>
                <w:ilvl w:val="0"/>
                <w:numId w:val="28"/>
              </w:numPr>
              <w:rPr>
                <w:rFonts w:cs="Calibri"/>
                <w:bCs/>
                <w:szCs w:val="24"/>
              </w:rPr>
            </w:pPr>
            <w:r w:rsidRPr="00AA5198">
              <w:rPr>
                <w:rFonts w:cs="Calibri"/>
                <w:bCs/>
                <w:szCs w:val="24"/>
              </w:rPr>
              <w:t xml:space="preserve">A1.3 </w:t>
            </w:r>
            <w:r w:rsidR="00B5128C" w:rsidRPr="00AA5198">
              <w:rPr>
                <w:rFonts w:cs="Calibri"/>
                <w:bCs/>
                <w:szCs w:val="24"/>
              </w:rPr>
              <w:t xml:space="preserve">Theory </w:t>
            </w:r>
            <w:r w:rsidRPr="00AA5198">
              <w:rPr>
                <w:rFonts w:cs="Calibri"/>
                <w:bCs/>
                <w:szCs w:val="24"/>
              </w:rPr>
              <w:t>Assessment (Test)</w:t>
            </w:r>
          </w:p>
          <w:p w:rsidR="00D079E3" w:rsidRPr="00AA5198" w:rsidRDefault="00D079E3" w:rsidP="007B2D96">
            <w:pPr>
              <w:pStyle w:val="ListParagraph"/>
              <w:numPr>
                <w:ilvl w:val="0"/>
                <w:numId w:val="28"/>
              </w:numPr>
              <w:rPr>
                <w:rFonts w:cs="Calibri"/>
                <w:bCs/>
                <w:szCs w:val="24"/>
              </w:rPr>
            </w:pPr>
            <w:r w:rsidRPr="00AA5198">
              <w:rPr>
                <w:rFonts w:cs="Calibri"/>
                <w:bCs/>
                <w:szCs w:val="24"/>
              </w:rPr>
              <w:t xml:space="preserve">A1.4 Vehicle Systems and Reporting Malfunctions ELDT </w:t>
            </w:r>
            <w:r w:rsidR="00B5128C" w:rsidRPr="00AA5198">
              <w:rPr>
                <w:rFonts w:cs="Calibri"/>
                <w:bCs/>
                <w:szCs w:val="24"/>
              </w:rPr>
              <w:t xml:space="preserve">Theory </w:t>
            </w:r>
            <w:r w:rsidRPr="00AA5198">
              <w:rPr>
                <w:rFonts w:cs="Calibri"/>
                <w:bCs/>
                <w:szCs w:val="24"/>
              </w:rPr>
              <w:t>Curriculum</w:t>
            </w:r>
            <w:r w:rsidR="00A816EF" w:rsidRPr="00AA5198">
              <w:rPr>
                <w:rFonts w:cs="Calibri"/>
                <w:bCs/>
                <w:szCs w:val="24"/>
              </w:rPr>
              <w:t xml:space="preserve"> – Text Chapters 18-20</w:t>
            </w:r>
          </w:p>
          <w:p w:rsidR="00B229FE" w:rsidRPr="00AA5198" w:rsidRDefault="00A816EF" w:rsidP="00B229FE">
            <w:pPr>
              <w:rPr>
                <w:rFonts w:cs="Calibri"/>
                <w:bCs/>
                <w:szCs w:val="24"/>
              </w:rPr>
            </w:pPr>
            <w:r w:rsidRPr="00AA5198">
              <w:rPr>
                <w:rFonts w:cs="Calibri"/>
                <w:bCs/>
                <w:szCs w:val="24"/>
              </w:rPr>
              <w:t xml:space="preserve"> </w:t>
            </w:r>
          </w:p>
        </w:tc>
        <w:tc>
          <w:tcPr>
            <w:tcW w:w="2790" w:type="dxa"/>
          </w:tcPr>
          <w:p w:rsidR="00B229FE" w:rsidRPr="00AA5198" w:rsidRDefault="00B229FE" w:rsidP="00B229FE">
            <w:pPr>
              <w:jc w:val="center"/>
              <w:rPr>
                <w:rFonts w:asciiTheme="minorHAnsi" w:hAnsiTheme="minorHAnsi" w:cstheme="minorHAnsi"/>
                <w:szCs w:val="24"/>
              </w:rPr>
            </w:pPr>
          </w:p>
          <w:p w:rsidR="00B229FE" w:rsidRPr="00AA5198" w:rsidRDefault="00B229FE" w:rsidP="00B229FE">
            <w:pPr>
              <w:jc w:val="center"/>
              <w:rPr>
                <w:rFonts w:asciiTheme="minorHAnsi" w:hAnsiTheme="minorHAnsi" w:cstheme="minorHAnsi"/>
                <w:szCs w:val="24"/>
              </w:rPr>
            </w:pPr>
            <w:r w:rsidRPr="00AA5198">
              <w:rPr>
                <w:rFonts w:asciiTheme="minorHAnsi" w:hAnsiTheme="minorHAnsi" w:cstheme="minorHAnsi"/>
                <w:szCs w:val="24"/>
              </w:rPr>
              <w:t xml:space="preserve">ELDT:  </w:t>
            </w:r>
            <w:r w:rsidR="00D079E3" w:rsidRPr="00AA5198">
              <w:rPr>
                <w:rFonts w:asciiTheme="minorHAnsi" w:hAnsiTheme="minorHAnsi" w:cstheme="minorHAnsi"/>
                <w:szCs w:val="24"/>
              </w:rPr>
              <w:t>A1.1, A1.2, A1.3, A1.4</w:t>
            </w:r>
          </w:p>
          <w:p w:rsidR="00B229FE" w:rsidRPr="00AA5198" w:rsidRDefault="00D079E3" w:rsidP="00B229FE">
            <w:pPr>
              <w:jc w:val="center"/>
              <w:rPr>
                <w:rFonts w:asciiTheme="minorHAnsi" w:hAnsiTheme="minorHAnsi" w:cstheme="minorHAnsi"/>
                <w:szCs w:val="24"/>
              </w:rPr>
            </w:pPr>
            <w:r w:rsidRPr="00AA5198">
              <w:rPr>
                <w:rFonts w:asciiTheme="minorHAnsi" w:hAnsiTheme="minorHAnsi" w:cstheme="minorHAnsi"/>
                <w:szCs w:val="24"/>
              </w:rPr>
              <w:t>CC: 1, 2, 3</w:t>
            </w:r>
            <w:r w:rsidR="00307270" w:rsidRPr="00AA5198">
              <w:rPr>
                <w:rFonts w:asciiTheme="minorHAnsi" w:hAnsiTheme="minorHAnsi" w:cstheme="minorHAnsi"/>
                <w:szCs w:val="24"/>
              </w:rPr>
              <w:t>, 4</w:t>
            </w:r>
          </w:p>
          <w:p w:rsidR="00B229FE" w:rsidRPr="00AA5198" w:rsidRDefault="00B229FE" w:rsidP="00B229FE">
            <w:pPr>
              <w:jc w:val="center"/>
              <w:rPr>
                <w:rFonts w:asciiTheme="minorHAnsi" w:hAnsiTheme="minorHAnsi" w:cstheme="minorHAnsi"/>
                <w:szCs w:val="24"/>
              </w:rPr>
            </w:pPr>
            <w:r w:rsidRPr="00AA5198">
              <w:rPr>
                <w:rFonts w:asciiTheme="minorHAnsi" w:hAnsiTheme="minorHAnsi" w:cstheme="minorHAnsi"/>
                <w:szCs w:val="24"/>
              </w:rPr>
              <w:t xml:space="preserve">GC: </w:t>
            </w:r>
            <w:proofErr w:type="spellStart"/>
            <w:proofErr w:type="gramStart"/>
            <w:r w:rsidRPr="00AA5198">
              <w:rPr>
                <w:rFonts w:asciiTheme="minorHAnsi" w:hAnsiTheme="minorHAnsi" w:cstheme="minorHAnsi"/>
                <w:szCs w:val="24"/>
              </w:rPr>
              <w:t>a,b</w:t>
            </w:r>
            <w:proofErr w:type="gramEnd"/>
            <w:r w:rsidRPr="00AA5198">
              <w:rPr>
                <w:rFonts w:asciiTheme="minorHAnsi" w:hAnsiTheme="minorHAnsi" w:cstheme="minorHAnsi"/>
                <w:szCs w:val="24"/>
              </w:rPr>
              <w:t>,c</w:t>
            </w:r>
            <w:proofErr w:type="spellEnd"/>
            <w:r w:rsidR="00D079E3" w:rsidRPr="00AA5198">
              <w:rPr>
                <w:rFonts w:asciiTheme="minorHAnsi" w:hAnsiTheme="minorHAnsi" w:cstheme="minorHAnsi"/>
                <w:szCs w:val="24"/>
              </w:rPr>
              <w:t xml:space="preserve"> </w:t>
            </w:r>
          </w:p>
          <w:p w:rsidR="00B229FE" w:rsidRPr="00AA5198" w:rsidRDefault="00B229FE" w:rsidP="00B229FE">
            <w:pPr>
              <w:jc w:val="center"/>
              <w:rPr>
                <w:rFonts w:cs="Arial"/>
                <w:bCs/>
                <w:szCs w:val="24"/>
              </w:rPr>
            </w:pPr>
          </w:p>
        </w:tc>
      </w:tr>
      <w:tr w:rsidR="00AA5198" w:rsidRPr="00AA5198" w:rsidTr="007D03EC">
        <w:trPr>
          <w:cantSplit/>
          <w:trHeight w:val="432"/>
        </w:trPr>
        <w:tc>
          <w:tcPr>
            <w:tcW w:w="805" w:type="dxa"/>
          </w:tcPr>
          <w:p w:rsidR="00B229FE" w:rsidRPr="00AA5198" w:rsidRDefault="00B229FE" w:rsidP="00B229FE">
            <w:pPr>
              <w:rPr>
                <w:rFonts w:cs="Arial"/>
                <w:bCs/>
                <w:szCs w:val="24"/>
              </w:rPr>
            </w:pPr>
            <w:r w:rsidRPr="00AA5198">
              <w:rPr>
                <w:rFonts w:cs="Arial"/>
                <w:bCs/>
                <w:szCs w:val="24"/>
              </w:rPr>
              <w:t xml:space="preserve">Day </w:t>
            </w:r>
          </w:p>
          <w:p w:rsidR="00B229FE" w:rsidRPr="00AA5198" w:rsidRDefault="00B229FE" w:rsidP="00B229FE">
            <w:pPr>
              <w:rPr>
                <w:rFonts w:cs="Arial"/>
                <w:bCs/>
                <w:szCs w:val="24"/>
              </w:rPr>
            </w:pPr>
            <w:r w:rsidRPr="00AA5198">
              <w:rPr>
                <w:rFonts w:cs="Arial"/>
                <w:bCs/>
                <w:szCs w:val="24"/>
              </w:rPr>
              <w:t>4-5</w:t>
            </w:r>
          </w:p>
        </w:tc>
        <w:tc>
          <w:tcPr>
            <w:tcW w:w="2347" w:type="dxa"/>
          </w:tcPr>
          <w:p w:rsidR="005A789E" w:rsidRPr="00AA5198" w:rsidRDefault="005A789E" w:rsidP="005A789E">
            <w:pPr>
              <w:jc w:val="center"/>
              <w:rPr>
                <w:rFonts w:cs="Arial"/>
                <w:bCs/>
                <w:szCs w:val="24"/>
              </w:rPr>
            </w:pPr>
            <w:r w:rsidRPr="00AA5198">
              <w:rPr>
                <w:rFonts w:cs="Arial"/>
                <w:bCs/>
                <w:szCs w:val="24"/>
              </w:rPr>
              <w:t>FMCSA Handbook</w:t>
            </w:r>
          </w:p>
          <w:p w:rsidR="005A789E" w:rsidRPr="00AA5198" w:rsidRDefault="005A789E" w:rsidP="00B229FE">
            <w:pPr>
              <w:jc w:val="center"/>
              <w:rPr>
                <w:rFonts w:cs="Arial"/>
                <w:bCs/>
                <w:szCs w:val="24"/>
              </w:rPr>
            </w:pPr>
          </w:p>
          <w:p w:rsidR="00B229FE" w:rsidRPr="00AA5198" w:rsidRDefault="00B229FE" w:rsidP="00B229FE">
            <w:pPr>
              <w:jc w:val="center"/>
              <w:rPr>
                <w:rFonts w:cs="Arial"/>
                <w:bCs/>
                <w:szCs w:val="24"/>
              </w:rPr>
            </w:pPr>
            <w:r w:rsidRPr="00AA5198">
              <w:rPr>
                <w:rFonts w:cs="Arial"/>
                <w:bCs/>
                <w:szCs w:val="24"/>
              </w:rPr>
              <w:t>ELDT Textbook</w:t>
            </w:r>
          </w:p>
          <w:p w:rsidR="00B229FE" w:rsidRPr="00AA5198" w:rsidRDefault="00B229FE" w:rsidP="00B229FE">
            <w:pPr>
              <w:jc w:val="center"/>
              <w:rPr>
                <w:rFonts w:cs="Arial"/>
                <w:bCs/>
                <w:szCs w:val="24"/>
              </w:rPr>
            </w:pPr>
          </w:p>
          <w:p w:rsidR="00B229FE" w:rsidRPr="00AA5198" w:rsidRDefault="00B229FE" w:rsidP="00B229FE">
            <w:pPr>
              <w:jc w:val="center"/>
              <w:rPr>
                <w:rFonts w:cs="Arial"/>
                <w:bCs/>
                <w:szCs w:val="24"/>
              </w:rPr>
            </w:pPr>
            <w:r w:rsidRPr="00AA5198">
              <w:rPr>
                <w:rFonts w:cs="Arial"/>
                <w:bCs/>
                <w:szCs w:val="24"/>
              </w:rPr>
              <w:t>TCSG State Standards</w:t>
            </w:r>
          </w:p>
        </w:tc>
        <w:tc>
          <w:tcPr>
            <w:tcW w:w="4313" w:type="dxa"/>
          </w:tcPr>
          <w:p w:rsidR="00307270" w:rsidRPr="00AA5198" w:rsidRDefault="00307270" w:rsidP="00307270">
            <w:pPr>
              <w:pStyle w:val="ListParagraph"/>
              <w:numPr>
                <w:ilvl w:val="0"/>
                <w:numId w:val="28"/>
              </w:numPr>
              <w:rPr>
                <w:rFonts w:cs="Calibri"/>
                <w:bCs/>
                <w:szCs w:val="24"/>
              </w:rPr>
            </w:pPr>
            <w:r w:rsidRPr="00AA5198">
              <w:rPr>
                <w:rFonts w:cs="Calibri"/>
                <w:bCs/>
                <w:szCs w:val="24"/>
              </w:rPr>
              <w:t xml:space="preserve">A1.4 Vehicle Systems and Reporting Malfunctions ELDT </w:t>
            </w:r>
            <w:r w:rsidR="00FF69E7" w:rsidRPr="00AA5198">
              <w:rPr>
                <w:rFonts w:cs="Calibri"/>
                <w:bCs/>
                <w:szCs w:val="24"/>
              </w:rPr>
              <w:t>Theory Curriculum</w:t>
            </w:r>
            <w:r w:rsidR="00A816EF" w:rsidRPr="00AA5198">
              <w:rPr>
                <w:rFonts w:cs="Calibri"/>
                <w:bCs/>
                <w:szCs w:val="24"/>
              </w:rPr>
              <w:t xml:space="preserve"> – Text Chapters 18-20</w:t>
            </w:r>
          </w:p>
          <w:p w:rsidR="00307270" w:rsidRPr="00AA5198" w:rsidRDefault="00307270" w:rsidP="00307270">
            <w:pPr>
              <w:pStyle w:val="ListParagraph"/>
              <w:numPr>
                <w:ilvl w:val="0"/>
                <w:numId w:val="28"/>
              </w:numPr>
              <w:rPr>
                <w:rFonts w:cs="Calibri"/>
                <w:bCs/>
                <w:szCs w:val="24"/>
              </w:rPr>
            </w:pPr>
            <w:r w:rsidRPr="00AA5198">
              <w:rPr>
                <w:rFonts w:cs="Calibri"/>
                <w:bCs/>
                <w:szCs w:val="24"/>
              </w:rPr>
              <w:t xml:space="preserve">A1.4 </w:t>
            </w:r>
            <w:r w:rsidR="00B5128C" w:rsidRPr="00AA5198">
              <w:rPr>
                <w:rFonts w:cs="Calibri"/>
                <w:bCs/>
                <w:szCs w:val="24"/>
              </w:rPr>
              <w:t xml:space="preserve">Theory </w:t>
            </w:r>
            <w:r w:rsidRPr="00AA5198">
              <w:rPr>
                <w:rFonts w:cs="Calibri"/>
                <w:bCs/>
                <w:szCs w:val="24"/>
              </w:rPr>
              <w:t>Assessment (Test)</w:t>
            </w:r>
          </w:p>
          <w:p w:rsidR="00307270" w:rsidRPr="00AA5198" w:rsidRDefault="00307270" w:rsidP="00307270">
            <w:pPr>
              <w:pStyle w:val="ListParagraph"/>
              <w:numPr>
                <w:ilvl w:val="0"/>
                <w:numId w:val="28"/>
              </w:numPr>
              <w:rPr>
                <w:rFonts w:cs="Calibri"/>
                <w:bCs/>
                <w:szCs w:val="24"/>
              </w:rPr>
            </w:pPr>
            <w:r w:rsidRPr="00AA5198">
              <w:rPr>
                <w:rFonts w:cs="Calibri"/>
                <w:bCs/>
                <w:szCs w:val="24"/>
              </w:rPr>
              <w:t xml:space="preserve">A1.5 Non-Driving Activities ELDT </w:t>
            </w:r>
            <w:r w:rsidR="00B5128C" w:rsidRPr="00AA5198">
              <w:rPr>
                <w:rFonts w:cs="Calibri"/>
                <w:bCs/>
                <w:szCs w:val="24"/>
              </w:rPr>
              <w:t xml:space="preserve">Theory </w:t>
            </w:r>
            <w:r w:rsidRPr="00AA5198">
              <w:rPr>
                <w:rFonts w:cs="Calibri"/>
                <w:bCs/>
                <w:szCs w:val="24"/>
              </w:rPr>
              <w:t>Curriculum</w:t>
            </w:r>
            <w:r w:rsidR="00A816EF" w:rsidRPr="00AA5198">
              <w:rPr>
                <w:rFonts w:cs="Calibri"/>
                <w:bCs/>
                <w:szCs w:val="24"/>
              </w:rPr>
              <w:t xml:space="preserve"> – Text Chapters 21-30</w:t>
            </w:r>
          </w:p>
          <w:p w:rsidR="00307270" w:rsidRPr="00AA5198" w:rsidRDefault="00307270" w:rsidP="00307270">
            <w:pPr>
              <w:pStyle w:val="ListParagraph"/>
              <w:ind w:left="360"/>
              <w:rPr>
                <w:rFonts w:cs="Calibri"/>
                <w:bCs/>
                <w:szCs w:val="24"/>
              </w:rPr>
            </w:pPr>
          </w:p>
          <w:p w:rsidR="00B229FE" w:rsidRPr="00AA5198" w:rsidRDefault="00B229FE" w:rsidP="00B229FE">
            <w:pPr>
              <w:rPr>
                <w:rFonts w:cs="Calibri"/>
                <w:bCs/>
                <w:szCs w:val="24"/>
              </w:rPr>
            </w:pPr>
          </w:p>
        </w:tc>
        <w:tc>
          <w:tcPr>
            <w:tcW w:w="2790" w:type="dxa"/>
          </w:tcPr>
          <w:p w:rsidR="00B229FE" w:rsidRPr="00AA5198" w:rsidRDefault="00B229FE" w:rsidP="00B229FE">
            <w:pPr>
              <w:jc w:val="center"/>
              <w:rPr>
                <w:rFonts w:asciiTheme="minorHAnsi" w:hAnsiTheme="minorHAnsi" w:cstheme="minorHAnsi"/>
                <w:szCs w:val="24"/>
              </w:rPr>
            </w:pPr>
          </w:p>
          <w:p w:rsidR="00B229FE" w:rsidRPr="00AA5198" w:rsidRDefault="00307270" w:rsidP="00B229FE">
            <w:pPr>
              <w:jc w:val="center"/>
              <w:rPr>
                <w:rFonts w:asciiTheme="minorHAnsi" w:hAnsiTheme="minorHAnsi" w:cstheme="minorHAnsi"/>
                <w:szCs w:val="24"/>
              </w:rPr>
            </w:pPr>
            <w:r w:rsidRPr="00AA5198">
              <w:rPr>
                <w:rFonts w:asciiTheme="minorHAnsi" w:hAnsiTheme="minorHAnsi" w:cstheme="minorHAnsi"/>
                <w:szCs w:val="24"/>
              </w:rPr>
              <w:t xml:space="preserve">ELDT:  A1.1, A1.2, A1.3, A1.4, </w:t>
            </w:r>
            <w:r w:rsidR="000041D2" w:rsidRPr="00AA5198">
              <w:rPr>
                <w:rFonts w:asciiTheme="minorHAnsi" w:hAnsiTheme="minorHAnsi" w:cstheme="minorHAnsi"/>
                <w:szCs w:val="24"/>
              </w:rPr>
              <w:t>A1.5</w:t>
            </w:r>
          </w:p>
          <w:p w:rsidR="00B229FE" w:rsidRPr="00AA5198" w:rsidRDefault="000041D2" w:rsidP="00B229FE">
            <w:pPr>
              <w:jc w:val="center"/>
              <w:rPr>
                <w:rFonts w:asciiTheme="minorHAnsi" w:hAnsiTheme="minorHAnsi" w:cstheme="minorHAnsi"/>
                <w:szCs w:val="24"/>
              </w:rPr>
            </w:pPr>
            <w:r w:rsidRPr="00AA5198">
              <w:rPr>
                <w:rFonts w:asciiTheme="minorHAnsi" w:hAnsiTheme="minorHAnsi" w:cstheme="minorHAnsi"/>
                <w:szCs w:val="24"/>
              </w:rPr>
              <w:t>CC: 1, 2, 3, 4, 5</w:t>
            </w:r>
          </w:p>
          <w:p w:rsidR="00B229FE" w:rsidRPr="00AA5198" w:rsidRDefault="00B229FE" w:rsidP="00B229FE">
            <w:pPr>
              <w:jc w:val="center"/>
              <w:rPr>
                <w:rFonts w:asciiTheme="minorHAnsi" w:hAnsiTheme="minorHAnsi" w:cstheme="minorHAnsi"/>
                <w:szCs w:val="24"/>
              </w:rPr>
            </w:pPr>
            <w:r w:rsidRPr="00AA5198">
              <w:rPr>
                <w:rFonts w:asciiTheme="minorHAnsi" w:hAnsiTheme="minorHAnsi" w:cstheme="minorHAnsi"/>
                <w:szCs w:val="24"/>
              </w:rPr>
              <w:t xml:space="preserve">GC: </w:t>
            </w:r>
            <w:proofErr w:type="spellStart"/>
            <w:proofErr w:type="gramStart"/>
            <w:r w:rsidRPr="00AA5198">
              <w:rPr>
                <w:rFonts w:asciiTheme="minorHAnsi" w:hAnsiTheme="minorHAnsi" w:cstheme="minorHAnsi"/>
                <w:szCs w:val="24"/>
              </w:rPr>
              <w:t>a,b</w:t>
            </w:r>
            <w:proofErr w:type="gramEnd"/>
            <w:r w:rsidRPr="00AA5198">
              <w:rPr>
                <w:rFonts w:asciiTheme="minorHAnsi" w:hAnsiTheme="minorHAnsi" w:cstheme="minorHAnsi"/>
                <w:szCs w:val="24"/>
              </w:rPr>
              <w:t>,c</w:t>
            </w:r>
            <w:proofErr w:type="spellEnd"/>
          </w:p>
          <w:p w:rsidR="00B229FE" w:rsidRPr="00AA5198" w:rsidRDefault="00B229FE" w:rsidP="00B229FE">
            <w:pPr>
              <w:jc w:val="center"/>
              <w:rPr>
                <w:rFonts w:cs="Arial"/>
                <w:bCs/>
                <w:szCs w:val="24"/>
              </w:rPr>
            </w:pPr>
          </w:p>
        </w:tc>
      </w:tr>
      <w:tr w:rsidR="00AA5198" w:rsidRPr="00AA5198" w:rsidTr="007D03EC">
        <w:trPr>
          <w:cantSplit/>
          <w:trHeight w:val="432"/>
        </w:trPr>
        <w:tc>
          <w:tcPr>
            <w:tcW w:w="805" w:type="dxa"/>
          </w:tcPr>
          <w:p w:rsidR="00B229FE" w:rsidRPr="00AA5198" w:rsidRDefault="00B229FE" w:rsidP="00B229FE">
            <w:pPr>
              <w:rPr>
                <w:rFonts w:cs="Arial"/>
                <w:bCs/>
                <w:szCs w:val="24"/>
              </w:rPr>
            </w:pPr>
            <w:r w:rsidRPr="00AA5198">
              <w:rPr>
                <w:rFonts w:cs="Arial"/>
                <w:bCs/>
                <w:szCs w:val="24"/>
              </w:rPr>
              <w:t>Day</w:t>
            </w:r>
          </w:p>
          <w:p w:rsidR="00B229FE" w:rsidRPr="00AA5198" w:rsidRDefault="00B229FE" w:rsidP="00B229FE">
            <w:pPr>
              <w:rPr>
                <w:rFonts w:cs="Arial"/>
                <w:bCs/>
                <w:szCs w:val="24"/>
              </w:rPr>
            </w:pPr>
            <w:r w:rsidRPr="00AA5198">
              <w:rPr>
                <w:rFonts w:cs="Arial"/>
                <w:bCs/>
                <w:szCs w:val="24"/>
              </w:rPr>
              <w:t>5-6</w:t>
            </w:r>
          </w:p>
        </w:tc>
        <w:tc>
          <w:tcPr>
            <w:tcW w:w="2347" w:type="dxa"/>
          </w:tcPr>
          <w:p w:rsidR="005A789E" w:rsidRPr="00AA5198" w:rsidRDefault="005A789E" w:rsidP="005A789E">
            <w:pPr>
              <w:jc w:val="center"/>
              <w:rPr>
                <w:rFonts w:cs="Arial"/>
                <w:bCs/>
                <w:szCs w:val="24"/>
              </w:rPr>
            </w:pPr>
            <w:r w:rsidRPr="00AA5198">
              <w:rPr>
                <w:rFonts w:cs="Arial"/>
                <w:bCs/>
                <w:szCs w:val="24"/>
              </w:rPr>
              <w:t>FMCSA Handbook</w:t>
            </w:r>
          </w:p>
          <w:p w:rsidR="005A789E" w:rsidRPr="00AA5198" w:rsidRDefault="005A789E" w:rsidP="00B229FE">
            <w:pPr>
              <w:jc w:val="center"/>
              <w:rPr>
                <w:rFonts w:cs="Arial"/>
                <w:bCs/>
                <w:szCs w:val="24"/>
              </w:rPr>
            </w:pPr>
          </w:p>
          <w:p w:rsidR="00B229FE" w:rsidRPr="00AA5198" w:rsidRDefault="00B229FE" w:rsidP="00B229FE">
            <w:pPr>
              <w:jc w:val="center"/>
              <w:rPr>
                <w:rFonts w:cs="Arial"/>
                <w:bCs/>
                <w:szCs w:val="24"/>
              </w:rPr>
            </w:pPr>
            <w:r w:rsidRPr="00AA5198">
              <w:rPr>
                <w:rFonts w:cs="Arial"/>
                <w:bCs/>
                <w:szCs w:val="24"/>
              </w:rPr>
              <w:t>ELDT Textbook</w:t>
            </w:r>
          </w:p>
          <w:p w:rsidR="00B229FE" w:rsidRPr="00AA5198" w:rsidRDefault="00B229FE" w:rsidP="00B229FE">
            <w:pPr>
              <w:jc w:val="center"/>
              <w:rPr>
                <w:rFonts w:cs="Arial"/>
                <w:bCs/>
                <w:szCs w:val="24"/>
              </w:rPr>
            </w:pPr>
          </w:p>
          <w:p w:rsidR="00B229FE" w:rsidRPr="00AA5198" w:rsidRDefault="00B229FE" w:rsidP="00B229FE">
            <w:pPr>
              <w:jc w:val="center"/>
              <w:rPr>
                <w:rFonts w:cs="Arial"/>
                <w:bCs/>
                <w:szCs w:val="24"/>
              </w:rPr>
            </w:pPr>
            <w:r w:rsidRPr="00AA5198">
              <w:rPr>
                <w:rFonts w:cs="Arial"/>
                <w:bCs/>
                <w:szCs w:val="24"/>
              </w:rPr>
              <w:t>TCSG State Standards</w:t>
            </w:r>
          </w:p>
        </w:tc>
        <w:tc>
          <w:tcPr>
            <w:tcW w:w="4313" w:type="dxa"/>
          </w:tcPr>
          <w:p w:rsidR="008A4798" w:rsidRPr="00AA5198" w:rsidRDefault="008A4798" w:rsidP="008A4798">
            <w:pPr>
              <w:pStyle w:val="ListParagraph"/>
              <w:numPr>
                <w:ilvl w:val="0"/>
                <w:numId w:val="28"/>
              </w:numPr>
              <w:rPr>
                <w:rFonts w:cs="Calibri"/>
                <w:bCs/>
                <w:szCs w:val="24"/>
              </w:rPr>
            </w:pPr>
            <w:r w:rsidRPr="00AA5198">
              <w:rPr>
                <w:rFonts w:cs="Calibri"/>
                <w:bCs/>
                <w:szCs w:val="24"/>
              </w:rPr>
              <w:t xml:space="preserve">A1.5 Non-Driving Activities ELDT </w:t>
            </w:r>
            <w:r w:rsidR="00B5128C" w:rsidRPr="00AA5198">
              <w:rPr>
                <w:rFonts w:cs="Calibri"/>
                <w:bCs/>
                <w:szCs w:val="24"/>
              </w:rPr>
              <w:t xml:space="preserve">Theory </w:t>
            </w:r>
            <w:r w:rsidRPr="00AA5198">
              <w:rPr>
                <w:rFonts w:cs="Calibri"/>
                <w:bCs/>
                <w:szCs w:val="24"/>
              </w:rPr>
              <w:t>Curriculum</w:t>
            </w:r>
            <w:r w:rsidR="00F76173" w:rsidRPr="00AA5198">
              <w:rPr>
                <w:rFonts w:cs="Calibri"/>
                <w:bCs/>
                <w:szCs w:val="24"/>
              </w:rPr>
              <w:t xml:space="preserve"> – Text Chapters 21-30</w:t>
            </w:r>
          </w:p>
          <w:p w:rsidR="008A4798" w:rsidRPr="00AA5198" w:rsidRDefault="008A4798" w:rsidP="008A4798">
            <w:pPr>
              <w:pStyle w:val="ListParagraph"/>
              <w:numPr>
                <w:ilvl w:val="0"/>
                <w:numId w:val="28"/>
              </w:numPr>
              <w:rPr>
                <w:rFonts w:cs="Calibri"/>
                <w:bCs/>
                <w:szCs w:val="24"/>
              </w:rPr>
            </w:pPr>
            <w:r w:rsidRPr="00AA5198">
              <w:rPr>
                <w:rFonts w:cs="Calibri"/>
                <w:bCs/>
                <w:szCs w:val="24"/>
              </w:rPr>
              <w:t xml:space="preserve">A1.5 </w:t>
            </w:r>
            <w:r w:rsidR="00B5128C" w:rsidRPr="00AA5198">
              <w:rPr>
                <w:rFonts w:cs="Calibri"/>
                <w:bCs/>
                <w:szCs w:val="24"/>
              </w:rPr>
              <w:t xml:space="preserve">Theory </w:t>
            </w:r>
            <w:r w:rsidRPr="00AA5198">
              <w:rPr>
                <w:rFonts w:cs="Calibri"/>
                <w:bCs/>
                <w:szCs w:val="24"/>
              </w:rPr>
              <w:t>Assessment (Test)</w:t>
            </w:r>
          </w:p>
          <w:p w:rsidR="00B229FE" w:rsidRPr="00AA5198" w:rsidRDefault="00B229FE" w:rsidP="00D14B2C">
            <w:pPr>
              <w:pStyle w:val="ListParagraph"/>
              <w:ind w:left="360"/>
              <w:rPr>
                <w:rFonts w:cs="Calibri"/>
                <w:bCs/>
                <w:szCs w:val="24"/>
              </w:rPr>
            </w:pPr>
          </w:p>
        </w:tc>
        <w:tc>
          <w:tcPr>
            <w:tcW w:w="2790" w:type="dxa"/>
          </w:tcPr>
          <w:p w:rsidR="00B229FE" w:rsidRPr="00AA5198" w:rsidRDefault="00B229FE" w:rsidP="00B229FE">
            <w:pPr>
              <w:jc w:val="center"/>
              <w:rPr>
                <w:rFonts w:asciiTheme="minorHAnsi" w:hAnsiTheme="minorHAnsi" w:cstheme="minorHAnsi"/>
                <w:szCs w:val="24"/>
              </w:rPr>
            </w:pPr>
          </w:p>
          <w:p w:rsidR="00B229FE" w:rsidRPr="00AA5198" w:rsidRDefault="008A4798" w:rsidP="00B229FE">
            <w:pPr>
              <w:jc w:val="center"/>
              <w:rPr>
                <w:rFonts w:asciiTheme="minorHAnsi" w:hAnsiTheme="minorHAnsi" w:cstheme="minorHAnsi"/>
                <w:szCs w:val="24"/>
              </w:rPr>
            </w:pPr>
            <w:r w:rsidRPr="00AA5198">
              <w:rPr>
                <w:rFonts w:asciiTheme="minorHAnsi" w:hAnsiTheme="minorHAnsi" w:cstheme="minorHAnsi"/>
                <w:szCs w:val="24"/>
              </w:rPr>
              <w:t>ELDT:  A1.1, A1.2, A1.3, A1.4, A1.5</w:t>
            </w:r>
          </w:p>
          <w:p w:rsidR="00B229FE" w:rsidRPr="00AA5198" w:rsidRDefault="008A4798" w:rsidP="00B229FE">
            <w:pPr>
              <w:jc w:val="center"/>
              <w:rPr>
                <w:rFonts w:asciiTheme="minorHAnsi" w:hAnsiTheme="minorHAnsi" w:cstheme="minorHAnsi"/>
                <w:szCs w:val="24"/>
              </w:rPr>
            </w:pPr>
            <w:r w:rsidRPr="00AA5198">
              <w:rPr>
                <w:rFonts w:asciiTheme="minorHAnsi" w:hAnsiTheme="minorHAnsi" w:cstheme="minorHAnsi"/>
                <w:szCs w:val="24"/>
              </w:rPr>
              <w:t>CC: 1, 2, 3, 4, 5</w:t>
            </w:r>
          </w:p>
          <w:p w:rsidR="00B229FE" w:rsidRPr="00AA5198" w:rsidRDefault="00B229FE" w:rsidP="00B229FE">
            <w:pPr>
              <w:jc w:val="center"/>
              <w:rPr>
                <w:rFonts w:asciiTheme="minorHAnsi" w:hAnsiTheme="minorHAnsi" w:cstheme="minorHAnsi"/>
                <w:szCs w:val="24"/>
              </w:rPr>
            </w:pPr>
            <w:r w:rsidRPr="00AA5198">
              <w:rPr>
                <w:rFonts w:asciiTheme="minorHAnsi" w:hAnsiTheme="minorHAnsi" w:cstheme="minorHAnsi"/>
                <w:szCs w:val="24"/>
              </w:rPr>
              <w:t xml:space="preserve">GC: </w:t>
            </w:r>
            <w:proofErr w:type="spellStart"/>
            <w:proofErr w:type="gramStart"/>
            <w:r w:rsidRPr="00AA5198">
              <w:rPr>
                <w:rFonts w:asciiTheme="minorHAnsi" w:hAnsiTheme="minorHAnsi" w:cstheme="minorHAnsi"/>
                <w:szCs w:val="24"/>
              </w:rPr>
              <w:t>a,b</w:t>
            </w:r>
            <w:proofErr w:type="gramEnd"/>
            <w:r w:rsidRPr="00AA5198">
              <w:rPr>
                <w:rFonts w:asciiTheme="minorHAnsi" w:hAnsiTheme="minorHAnsi" w:cstheme="minorHAnsi"/>
                <w:szCs w:val="24"/>
              </w:rPr>
              <w:t>,c</w:t>
            </w:r>
            <w:proofErr w:type="spellEnd"/>
          </w:p>
          <w:p w:rsidR="00B229FE" w:rsidRPr="00AA5198" w:rsidRDefault="00B229FE" w:rsidP="00B229FE">
            <w:pPr>
              <w:jc w:val="center"/>
              <w:rPr>
                <w:rFonts w:asciiTheme="minorHAnsi" w:hAnsiTheme="minorHAnsi" w:cstheme="minorHAnsi"/>
                <w:szCs w:val="24"/>
              </w:rPr>
            </w:pPr>
          </w:p>
        </w:tc>
      </w:tr>
      <w:tr w:rsidR="00AA5198" w:rsidRPr="00AA5198" w:rsidTr="007D03EC">
        <w:trPr>
          <w:cantSplit/>
          <w:trHeight w:val="432"/>
        </w:trPr>
        <w:tc>
          <w:tcPr>
            <w:tcW w:w="805" w:type="dxa"/>
          </w:tcPr>
          <w:p w:rsidR="00B229FE" w:rsidRPr="00AA5198" w:rsidRDefault="00B229FE" w:rsidP="00B229FE">
            <w:pPr>
              <w:rPr>
                <w:rFonts w:cs="Arial"/>
                <w:bCs/>
                <w:szCs w:val="24"/>
              </w:rPr>
            </w:pPr>
            <w:r w:rsidRPr="00AA5198">
              <w:rPr>
                <w:rFonts w:cs="Arial"/>
                <w:bCs/>
                <w:szCs w:val="24"/>
              </w:rPr>
              <w:lastRenderedPageBreak/>
              <w:t>Day 6-7</w:t>
            </w:r>
          </w:p>
        </w:tc>
        <w:tc>
          <w:tcPr>
            <w:tcW w:w="2347" w:type="dxa"/>
          </w:tcPr>
          <w:p w:rsidR="005A789E" w:rsidRPr="00AA5198" w:rsidRDefault="005A789E" w:rsidP="005A789E">
            <w:pPr>
              <w:jc w:val="center"/>
              <w:rPr>
                <w:rFonts w:cs="Arial"/>
                <w:bCs/>
                <w:szCs w:val="24"/>
              </w:rPr>
            </w:pPr>
            <w:r w:rsidRPr="00AA5198">
              <w:rPr>
                <w:rFonts w:cs="Arial"/>
                <w:bCs/>
                <w:szCs w:val="24"/>
              </w:rPr>
              <w:t>FMCSA Handbook</w:t>
            </w:r>
          </w:p>
          <w:p w:rsidR="005A789E" w:rsidRPr="00AA5198" w:rsidRDefault="005A789E" w:rsidP="00B229FE">
            <w:pPr>
              <w:jc w:val="center"/>
              <w:rPr>
                <w:rFonts w:cs="Arial"/>
                <w:bCs/>
                <w:szCs w:val="24"/>
              </w:rPr>
            </w:pPr>
          </w:p>
          <w:p w:rsidR="00B229FE" w:rsidRPr="00AA5198" w:rsidRDefault="00B229FE" w:rsidP="00B229FE">
            <w:pPr>
              <w:jc w:val="center"/>
              <w:rPr>
                <w:rFonts w:cs="Arial"/>
                <w:bCs/>
                <w:szCs w:val="24"/>
              </w:rPr>
            </w:pPr>
            <w:r w:rsidRPr="00AA5198">
              <w:rPr>
                <w:rFonts w:cs="Arial"/>
                <w:bCs/>
                <w:szCs w:val="24"/>
              </w:rPr>
              <w:t>ELDT Textbook</w:t>
            </w:r>
          </w:p>
          <w:p w:rsidR="00B229FE" w:rsidRPr="00AA5198" w:rsidRDefault="00B229FE" w:rsidP="00B229FE">
            <w:pPr>
              <w:jc w:val="center"/>
              <w:rPr>
                <w:rFonts w:cs="Arial"/>
                <w:bCs/>
                <w:szCs w:val="24"/>
              </w:rPr>
            </w:pPr>
          </w:p>
          <w:p w:rsidR="00B229FE" w:rsidRPr="00AA5198" w:rsidRDefault="00B229FE" w:rsidP="00B229FE">
            <w:pPr>
              <w:jc w:val="center"/>
              <w:rPr>
                <w:rFonts w:cs="Arial"/>
                <w:bCs/>
                <w:szCs w:val="24"/>
              </w:rPr>
            </w:pPr>
            <w:r w:rsidRPr="00AA5198">
              <w:rPr>
                <w:rFonts w:cs="Arial"/>
                <w:bCs/>
                <w:szCs w:val="24"/>
              </w:rPr>
              <w:t>TCSG State Standards</w:t>
            </w:r>
          </w:p>
        </w:tc>
        <w:tc>
          <w:tcPr>
            <w:tcW w:w="4313" w:type="dxa"/>
          </w:tcPr>
          <w:p w:rsidR="00D14B2C" w:rsidRPr="00AA5198" w:rsidRDefault="00D14B2C" w:rsidP="00D14B2C">
            <w:pPr>
              <w:pStyle w:val="ListParagraph"/>
              <w:numPr>
                <w:ilvl w:val="0"/>
                <w:numId w:val="29"/>
              </w:numPr>
              <w:rPr>
                <w:rFonts w:cs="Calibri"/>
                <w:bCs/>
                <w:szCs w:val="24"/>
              </w:rPr>
            </w:pPr>
            <w:r w:rsidRPr="00AA5198">
              <w:rPr>
                <w:rFonts w:cs="Calibri"/>
                <w:bCs/>
                <w:szCs w:val="24"/>
              </w:rPr>
              <w:t xml:space="preserve">Students who do not earn an overall 80 average in the CTDL 1010 Course </w:t>
            </w:r>
            <w:r w:rsidRPr="005C1DCC">
              <w:rPr>
                <w:rFonts w:cs="Calibri"/>
                <w:bCs/>
                <w:szCs w:val="24"/>
              </w:rPr>
              <w:t xml:space="preserve">are </w:t>
            </w:r>
            <w:r w:rsidR="00C25A85" w:rsidRPr="005C1DCC">
              <w:rPr>
                <w:rFonts w:cs="Calibri"/>
                <w:b/>
                <w:bCs/>
                <w:szCs w:val="24"/>
              </w:rPr>
              <w:t xml:space="preserve">administratively </w:t>
            </w:r>
            <w:r w:rsidRPr="00C25A85">
              <w:rPr>
                <w:rFonts w:cs="Calibri"/>
                <w:b/>
                <w:bCs/>
                <w:szCs w:val="24"/>
              </w:rPr>
              <w:t>withdrawn</w:t>
            </w:r>
            <w:r w:rsidRPr="00AA5198">
              <w:rPr>
                <w:rFonts w:cs="Calibri"/>
                <w:bCs/>
                <w:szCs w:val="24"/>
              </w:rPr>
              <w:t xml:space="preserve"> from the remaining courses in the program</w:t>
            </w:r>
            <w:r w:rsidR="001A396F" w:rsidRPr="00AA5198">
              <w:rPr>
                <w:rFonts w:cs="Calibri"/>
                <w:bCs/>
                <w:szCs w:val="24"/>
              </w:rPr>
              <w:t>.  See the syllabus for more details.</w:t>
            </w:r>
          </w:p>
        </w:tc>
        <w:tc>
          <w:tcPr>
            <w:tcW w:w="2790" w:type="dxa"/>
          </w:tcPr>
          <w:p w:rsidR="00B229FE" w:rsidRPr="00AA5198" w:rsidRDefault="00B229FE" w:rsidP="00B229FE">
            <w:pPr>
              <w:jc w:val="center"/>
              <w:rPr>
                <w:rFonts w:asciiTheme="minorHAnsi" w:hAnsiTheme="minorHAnsi" w:cstheme="minorHAnsi"/>
                <w:szCs w:val="24"/>
              </w:rPr>
            </w:pPr>
          </w:p>
          <w:p w:rsidR="008A4798" w:rsidRPr="00AA5198" w:rsidRDefault="008A4798" w:rsidP="008A4798">
            <w:pPr>
              <w:jc w:val="center"/>
              <w:rPr>
                <w:rFonts w:asciiTheme="minorHAnsi" w:hAnsiTheme="minorHAnsi" w:cstheme="minorHAnsi"/>
                <w:szCs w:val="24"/>
              </w:rPr>
            </w:pPr>
            <w:r w:rsidRPr="00AA5198">
              <w:rPr>
                <w:rFonts w:asciiTheme="minorHAnsi" w:hAnsiTheme="minorHAnsi" w:cstheme="minorHAnsi"/>
                <w:szCs w:val="24"/>
              </w:rPr>
              <w:t>ELDT:  A1.1, A1.2, A1.3, A1.4, A1.5</w:t>
            </w:r>
          </w:p>
          <w:p w:rsidR="00B229FE" w:rsidRPr="00AA5198" w:rsidRDefault="008A4798" w:rsidP="008A4798">
            <w:pPr>
              <w:jc w:val="center"/>
              <w:rPr>
                <w:rFonts w:asciiTheme="minorHAnsi" w:hAnsiTheme="minorHAnsi" w:cstheme="minorHAnsi"/>
                <w:szCs w:val="24"/>
              </w:rPr>
            </w:pPr>
            <w:r w:rsidRPr="00AA5198">
              <w:rPr>
                <w:rFonts w:asciiTheme="minorHAnsi" w:hAnsiTheme="minorHAnsi" w:cstheme="minorHAnsi"/>
                <w:szCs w:val="24"/>
              </w:rPr>
              <w:t>CC: 1, 2, 3, 4, 5</w:t>
            </w:r>
          </w:p>
          <w:p w:rsidR="00B229FE" w:rsidRPr="00AA5198" w:rsidRDefault="00B229FE" w:rsidP="00B229FE">
            <w:pPr>
              <w:jc w:val="center"/>
              <w:rPr>
                <w:rFonts w:asciiTheme="minorHAnsi" w:hAnsiTheme="minorHAnsi" w:cstheme="minorHAnsi"/>
                <w:szCs w:val="24"/>
              </w:rPr>
            </w:pPr>
            <w:r w:rsidRPr="00AA5198">
              <w:rPr>
                <w:rFonts w:asciiTheme="minorHAnsi" w:hAnsiTheme="minorHAnsi" w:cstheme="minorHAnsi"/>
                <w:szCs w:val="24"/>
              </w:rPr>
              <w:t xml:space="preserve">GC: </w:t>
            </w:r>
            <w:proofErr w:type="spellStart"/>
            <w:proofErr w:type="gramStart"/>
            <w:r w:rsidRPr="00AA5198">
              <w:rPr>
                <w:rFonts w:asciiTheme="minorHAnsi" w:hAnsiTheme="minorHAnsi" w:cstheme="minorHAnsi"/>
                <w:szCs w:val="24"/>
              </w:rPr>
              <w:t>a,b</w:t>
            </w:r>
            <w:proofErr w:type="gramEnd"/>
            <w:r w:rsidRPr="00AA5198">
              <w:rPr>
                <w:rFonts w:asciiTheme="minorHAnsi" w:hAnsiTheme="minorHAnsi" w:cstheme="minorHAnsi"/>
                <w:szCs w:val="24"/>
              </w:rPr>
              <w:t>,c</w:t>
            </w:r>
            <w:proofErr w:type="spellEnd"/>
          </w:p>
          <w:p w:rsidR="00B229FE" w:rsidRPr="00AA5198" w:rsidRDefault="00B229FE" w:rsidP="00B229FE">
            <w:pPr>
              <w:jc w:val="center"/>
              <w:rPr>
                <w:rFonts w:asciiTheme="minorHAnsi" w:hAnsiTheme="minorHAnsi" w:cstheme="minorHAnsi"/>
                <w:szCs w:val="24"/>
              </w:rPr>
            </w:pPr>
          </w:p>
        </w:tc>
      </w:tr>
    </w:tbl>
    <w:p w:rsidR="007D03EC" w:rsidRPr="00AA5198" w:rsidRDefault="007D03EC" w:rsidP="008A4798">
      <w:pPr>
        <w:pStyle w:val="ListParagraph"/>
        <w:numPr>
          <w:ilvl w:val="0"/>
          <w:numId w:val="29"/>
        </w:numPr>
      </w:pPr>
      <w:r w:rsidRPr="00AA5198">
        <w:t>Day 1 is the official first day of the Term for course CTDL 1010.</w:t>
      </w:r>
    </w:p>
    <w:p w:rsidR="007D195A" w:rsidRPr="007D195A" w:rsidRDefault="008D2674" w:rsidP="007D195A">
      <w:pPr>
        <w:pStyle w:val="ListParagraph"/>
        <w:numPr>
          <w:ilvl w:val="0"/>
          <w:numId w:val="29"/>
        </w:numPr>
      </w:pPr>
      <w:r w:rsidRPr="00AA5198">
        <w:t xml:space="preserve">Lesson plans are “plans” and not a guarantee of exactly what is done on a particular day. Dates are subject to changes determined by various reasons such as weather, school closings, required drug testing, </w:t>
      </w:r>
      <w:proofErr w:type="spellStart"/>
      <w:r w:rsidRPr="00AA5198">
        <w:t>etc</w:t>
      </w:r>
      <w:proofErr w:type="spellEnd"/>
      <w:r w:rsidRPr="00AA5198">
        <w:t>…</w:t>
      </w:r>
    </w:p>
    <w:p w:rsidR="00060872" w:rsidRPr="00AA5198" w:rsidRDefault="00060872" w:rsidP="00060872">
      <w:pPr>
        <w:pStyle w:val="Heading2"/>
      </w:pPr>
      <w:r w:rsidRPr="00AA5198">
        <w:t>Course competecy areas</w:t>
      </w:r>
      <w:r w:rsidR="005A789E" w:rsidRPr="00AA5198">
        <w:t>:</w:t>
      </w:r>
      <w:r w:rsidRPr="00AA5198">
        <w:t xml:space="preserve"> (CC)</w:t>
      </w:r>
    </w:p>
    <w:p w:rsidR="00060872" w:rsidRPr="00AA5198" w:rsidRDefault="00060872" w:rsidP="00060872">
      <w:pPr>
        <w:rPr>
          <w:rFonts w:cs="Calibri"/>
          <w:szCs w:val="24"/>
        </w:rPr>
      </w:pPr>
      <w:r w:rsidRPr="00AA5198">
        <w:rPr>
          <w:rFonts w:cs="Calibri"/>
          <w:szCs w:val="24"/>
        </w:rPr>
        <w:t xml:space="preserve">The student(s) will be competent and able to successfully perform, complete, and/or discuss the following: </w:t>
      </w:r>
    </w:p>
    <w:p w:rsidR="00060872" w:rsidRPr="00AA5198" w:rsidRDefault="00060872" w:rsidP="00060872">
      <w:pPr>
        <w:pStyle w:val="ListParagraph"/>
        <w:numPr>
          <w:ilvl w:val="0"/>
          <w:numId w:val="27"/>
        </w:numPr>
        <w:rPr>
          <w:rFonts w:cs="Calibri"/>
          <w:szCs w:val="24"/>
        </w:rPr>
      </w:pPr>
      <w:r w:rsidRPr="00AA5198">
        <w:rPr>
          <w:rFonts w:cs="Calibri"/>
          <w:szCs w:val="24"/>
        </w:rPr>
        <w:t>Introduce Fundamentals of Commercial Driving</w:t>
      </w:r>
    </w:p>
    <w:p w:rsidR="00060872" w:rsidRPr="00AA5198" w:rsidRDefault="00060872" w:rsidP="00060872">
      <w:pPr>
        <w:pStyle w:val="ListParagraph"/>
        <w:numPr>
          <w:ilvl w:val="0"/>
          <w:numId w:val="27"/>
        </w:numPr>
        <w:rPr>
          <w:rFonts w:cs="Calibri"/>
          <w:szCs w:val="24"/>
        </w:rPr>
      </w:pPr>
      <w:r w:rsidRPr="00AA5198">
        <w:rPr>
          <w:rFonts w:cs="Calibri"/>
          <w:szCs w:val="24"/>
        </w:rPr>
        <w:t>Safe Operating Procedures</w:t>
      </w:r>
    </w:p>
    <w:p w:rsidR="00060872" w:rsidRPr="00AA5198" w:rsidRDefault="00060872" w:rsidP="00060872">
      <w:pPr>
        <w:pStyle w:val="ListParagraph"/>
        <w:numPr>
          <w:ilvl w:val="0"/>
          <w:numId w:val="27"/>
        </w:numPr>
        <w:rPr>
          <w:rFonts w:cs="Calibri"/>
          <w:szCs w:val="24"/>
        </w:rPr>
      </w:pPr>
      <w:r w:rsidRPr="00AA5198">
        <w:rPr>
          <w:rFonts w:cs="Calibri"/>
          <w:szCs w:val="24"/>
        </w:rPr>
        <w:t>Advanced Operating Procedures</w:t>
      </w:r>
    </w:p>
    <w:p w:rsidR="00060872" w:rsidRPr="00AA5198" w:rsidRDefault="00060872" w:rsidP="00060872">
      <w:pPr>
        <w:pStyle w:val="ListParagraph"/>
        <w:numPr>
          <w:ilvl w:val="0"/>
          <w:numId w:val="27"/>
        </w:numPr>
        <w:rPr>
          <w:rFonts w:cs="Calibri"/>
          <w:szCs w:val="24"/>
        </w:rPr>
      </w:pPr>
      <w:r w:rsidRPr="00AA5198">
        <w:rPr>
          <w:rFonts w:cs="Calibri"/>
          <w:szCs w:val="24"/>
        </w:rPr>
        <w:t>Vehicle Systems and Reporting Malfunctions</w:t>
      </w:r>
    </w:p>
    <w:p w:rsidR="00060872" w:rsidRPr="00AA5198" w:rsidRDefault="00060872" w:rsidP="00060872">
      <w:pPr>
        <w:pStyle w:val="ListParagraph"/>
        <w:numPr>
          <w:ilvl w:val="0"/>
          <w:numId w:val="27"/>
        </w:numPr>
      </w:pPr>
      <w:r w:rsidRPr="00AA5198">
        <w:rPr>
          <w:rFonts w:cs="Calibri"/>
          <w:szCs w:val="24"/>
        </w:rPr>
        <w:t>Non-driving Activities</w:t>
      </w:r>
    </w:p>
    <w:p w:rsidR="00060872" w:rsidRPr="00AA5198" w:rsidRDefault="005A789E" w:rsidP="00060872">
      <w:pPr>
        <w:pStyle w:val="Heading2"/>
      </w:pPr>
      <w:r w:rsidRPr="00AA5198">
        <w:t>Entry-Level Driver Training</w:t>
      </w:r>
      <w:r w:rsidR="00060872" w:rsidRPr="00AA5198">
        <w:t xml:space="preserve"> comptency areas</w:t>
      </w:r>
      <w:r w:rsidRPr="00AA5198">
        <w:t>:</w:t>
      </w:r>
      <w:r w:rsidR="00060872" w:rsidRPr="00AA5198">
        <w:t xml:space="preserve"> (ELDT)</w:t>
      </w:r>
    </w:p>
    <w:p w:rsidR="00060872" w:rsidRPr="00AA5198" w:rsidRDefault="00060872" w:rsidP="00060872">
      <w:r w:rsidRPr="00AA5198">
        <w:t>A1.1: Basic Operation</w:t>
      </w:r>
    </w:p>
    <w:p w:rsidR="00060872" w:rsidRPr="00AA5198" w:rsidRDefault="00060872" w:rsidP="00060872">
      <w:r w:rsidRPr="00AA5198">
        <w:t>A1.2: Safe Operating Procedures</w:t>
      </w:r>
    </w:p>
    <w:p w:rsidR="00060872" w:rsidRPr="00AA5198" w:rsidRDefault="00060872" w:rsidP="00060872">
      <w:r w:rsidRPr="00AA5198">
        <w:t>A1. 3: Advanced Operating Practices</w:t>
      </w:r>
    </w:p>
    <w:p w:rsidR="00060872" w:rsidRPr="00AA5198" w:rsidRDefault="00060872" w:rsidP="00060872">
      <w:r w:rsidRPr="00AA5198">
        <w:t>A1.4: Vehicle Systems and Reporting Malfunctions</w:t>
      </w:r>
    </w:p>
    <w:p w:rsidR="00060872" w:rsidRPr="00AA5198" w:rsidRDefault="00060872" w:rsidP="00060872">
      <w:r w:rsidRPr="00AA5198">
        <w:t xml:space="preserve">A1.5: Non-Driving Activities </w:t>
      </w:r>
    </w:p>
    <w:p w:rsidR="000B2581" w:rsidRPr="00552118" w:rsidRDefault="000B2581" w:rsidP="00060872">
      <w:pPr>
        <w:pStyle w:val="Heading2"/>
      </w:pPr>
      <w:r w:rsidRPr="00552118">
        <w:t>G</w:t>
      </w:r>
      <w:r w:rsidR="00D76A61">
        <w:t>e</w:t>
      </w:r>
      <w:r w:rsidRPr="00552118">
        <w:t>neral</w:t>
      </w:r>
      <w:r w:rsidR="006E6262">
        <w:t xml:space="preserve"> Core Educational Competencies:</w:t>
      </w:r>
      <w:r w:rsidR="0085166B">
        <w:t xml:space="preserve"> (gc)</w:t>
      </w:r>
    </w:p>
    <w:p w:rsidR="000B2581" w:rsidRPr="00552118" w:rsidRDefault="000B2581" w:rsidP="000B2581">
      <w:pPr>
        <w:widowControl/>
        <w:numPr>
          <w:ilvl w:val="0"/>
          <w:numId w:val="3"/>
        </w:numPr>
        <w:snapToGrid w:val="0"/>
        <w:rPr>
          <w:rFonts w:cs="Arial"/>
          <w:bCs/>
          <w:szCs w:val="24"/>
        </w:rPr>
      </w:pPr>
      <w:r w:rsidRPr="00552118">
        <w:rPr>
          <w:rFonts w:cs="Arial"/>
          <w:bCs/>
          <w:szCs w:val="24"/>
        </w:rPr>
        <w:t>The ability to utilize standard written English.</w:t>
      </w:r>
    </w:p>
    <w:p w:rsidR="000B2581" w:rsidRPr="00552118" w:rsidRDefault="000B2581" w:rsidP="000B2581">
      <w:pPr>
        <w:widowControl/>
        <w:numPr>
          <w:ilvl w:val="0"/>
          <w:numId w:val="3"/>
        </w:numPr>
        <w:snapToGrid w:val="0"/>
        <w:rPr>
          <w:rFonts w:cs="Arial"/>
          <w:bCs/>
          <w:szCs w:val="24"/>
        </w:rPr>
      </w:pPr>
      <w:r w:rsidRPr="00552118">
        <w:rPr>
          <w:rFonts w:cs="Arial"/>
          <w:bCs/>
          <w:szCs w:val="24"/>
        </w:rPr>
        <w:t>The ability to solve practical mathematical problems.</w:t>
      </w:r>
    </w:p>
    <w:p w:rsidR="000B2581" w:rsidRPr="00552118" w:rsidRDefault="000B2581" w:rsidP="000B2581">
      <w:pPr>
        <w:widowControl/>
        <w:numPr>
          <w:ilvl w:val="0"/>
          <w:numId w:val="3"/>
        </w:numPr>
        <w:snapToGrid w:val="0"/>
        <w:rPr>
          <w:rFonts w:cs="Arial"/>
          <w:bCs/>
          <w:szCs w:val="24"/>
        </w:rPr>
      </w:pPr>
      <w:r w:rsidRPr="00552118">
        <w:rPr>
          <w:rFonts w:cs="Arial"/>
          <w:bCs/>
          <w:szCs w:val="24"/>
        </w:rPr>
        <w:t>The ability to read, analyze, and interpret information.</w:t>
      </w:r>
    </w:p>
    <w:sectPr w:rsidR="000B2581" w:rsidRPr="00552118" w:rsidSect="000B258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C3C" w:rsidRDefault="00384C3C" w:rsidP="00A77606">
      <w:r>
        <w:separator/>
      </w:r>
    </w:p>
  </w:endnote>
  <w:endnote w:type="continuationSeparator" w:id="0">
    <w:p w:rsidR="00384C3C" w:rsidRDefault="00384C3C" w:rsidP="00A7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lassicoURW">
    <w:altName w:val="Times New Roman"/>
    <w:charset w:val="00"/>
    <w:family w:val="auto"/>
    <w:pitch w:val="default"/>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1352514"/>
      <w:docPartObj>
        <w:docPartGallery w:val="Page Numbers (Bottom of Page)"/>
        <w:docPartUnique/>
      </w:docPartObj>
    </w:sdtPr>
    <w:sdtEndPr>
      <w:rPr>
        <w:noProof/>
      </w:rPr>
    </w:sdtEndPr>
    <w:sdtContent>
      <w:p w:rsidR="00384C3C" w:rsidRDefault="00384C3C">
        <w:pPr>
          <w:pStyle w:val="Footer"/>
          <w:jc w:val="right"/>
        </w:pPr>
        <w:r>
          <w:fldChar w:fldCharType="begin"/>
        </w:r>
        <w:r>
          <w:instrText xml:space="preserve"> PAGE   \* MERGEFORMAT </w:instrText>
        </w:r>
        <w:r>
          <w:fldChar w:fldCharType="separate"/>
        </w:r>
        <w:r w:rsidR="00D31968">
          <w:rPr>
            <w:noProof/>
          </w:rPr>
          <w:t>9</w:t>
        </w:r>
        <w:r>
          <w:rPr>
            <w:noProof/>
          </w:rPr>
          <w:fldChar w:fldCharType="end"/>
        </w:r>
      </w:p>
    </w:sdtContent>
  </w:sdt>
  <w:p w:rsidR="00384C3C" w:rsidRDefault="00384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C3C" w:rsidRDefault="00384C3C" w:rsidP="00A77606">
      <w:r>
        <w:separator/>
      </w:r>
    </w:p>
  </w:footnote>
  <w:footnote w:type="continuationSeparator" w:id="0">
    <w:p w:rsidR="00384C3C" w:rsidRDefault="00384C3C" w:rsidP="00A77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F17D0"/>
    <w:multiLevelType w:val="hybridMultilevel"/>
    <w:tmpl w:val="5CF6D1A2"/>
    <w:lvl w:ilvl="0" w:tplc="4F82C774">
      <w:numFmt w:val="bullet"/>
      <w:lvlText w:val=""/>
      <w:lvlJc w:val="left"/>
      <w:pPr>
        <w:ind w:left="720" w:hanging="360"/>
      </w:pPr>
      <w:rPr>
        <w:rFonts w:ascii="Symbol" w:eastAsiaTheme="maj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B1440"/>
    <w:multiLevelType w:val="hybridMultilevel"/>
    <w:tmpl w:val="173EF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46104"/>
    <w:multiLevelType w:val="hybridMultilevel"/>
    <w:tmpl w:val="68DACBD6"/>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5073F"/>
    <w:multiLevelType w:val="hybridMultilevel"/>
    <w:tmpl w:val="11BA8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67A99"/>
    <w:multiLevelType w:val="hybridMultilevel"/>
    <w:tmpl w:val="2F6E0E7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CFA0F8F"/>
    <w:multiLevelType w:val="hybridMultilevel"/>
    <w:tmpl w:val="1240A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252D8C"/>
    <w:multiLevelType w:val="hybridMultilevel"/>
    <w:tmpl w:val="C706E068"/>
    <w:lvl w:ilvl="0" w:tplc="66E4AE2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0F846E34"/>
    <w:multiLevelType w:val="hybridMultilevel"/>
    <w:tmpl w:val="127A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034191"/>
    <w:multiLevelType w:val="hybridMultilevel"/>
    <w:tmpl w:val="41CA7094"/>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B3115"/>
    <w:multiLevelType w:val="hybridMultilevel"/>
    <w:tmpl w:val="3EFE1F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20F6C8D"/>
    <w:multiLevelType w:val="hybridMultilevel"/>
    <w:tmpl w:val="B6E87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F35C60"/>
    <w:multiLevelType w:val="hybridMultilevel"/>
    <w:tmpl w:val="367CA7BC"/>
    <w:lvl w:ilvl="0" w:tplc="66E4AE2A">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95106"/>
    <w:multiLevelType w:val="hybridMultilevel"/>
    <w:tmpl w:val="4628DD8A"/>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0C4E90"/>
    <w:multiLevelType w:val="hybridMultilevel"/>
    <w:tmpl w:val="A99A2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0243959"/>
    <w:multiLevelType w:val="hybridMultilevel"/>
    <w:tmpl w:val="80781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6952B9"/>
    <w:multiLevelType w:val="hybridMultilevel"/>
    <w:tmpl w:val="A5D8B99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2D986323"/>
    <w:multiLevelType w:val="hybridMultilevel"/>
    <w:tmpl w:val="0CC06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C857F5"/>
    <w:multiLevelType w:val="hybridMultilevel"/>
    <w:tmpl w:val="53823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777BF9"/>
    <w:multiLevelType w:val="hybridMultilevel"/>
    <w:tmpl w:val="95460DD0"/>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93252A"/>
    <w:multiLevelType w:val="hybridMultilevel"/>
    <w:tmpl w:val="351A88E4"/>
    <w:lvl w:ilvl="0" w:tplc="66E4AE2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16A1B4E"/>
    <w:multiLevelType w:val="hybridMultilevel"/>
    <w:tmpl w:val="32E4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2C049E"/>
    <w:multiLevelType w:val="hybridMultilevel"/>
    <w:tmpl w:val="972CD7A2"/>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E1050A"/>
    <w:multiLevelType w:val="hybridMultilevel"/>
    <w:tmpl w:val="2F6E0E7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6A5D2DAC"/>
    <w:multiLevelType w:val="hybridMultilevel"/>
    <w:tmpl w:val="C2968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A268C8"/>
    <w:multiLevelType w:val="hybridMultilevel"/>
    <w:tmpl w:val="53823B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6" w15:restartNumberingAfterBreak="0">
    <w:nsid w:val="7418065A"/>
    <w:multiLevelType w:val="hybridMultilevel"/>
    <w:tmpl w:val="53823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DA2CF6"/>
    <w:multiLevelType w:val="hybridMultilevel"/>
    <w:tmpl w:val="5DFC2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D53990"/>
    <w:multiLevelType w:val="hybridMultilevel"/>
    <w:tmpl w:val="EC3C80EC"/>
    <w:lvl w:ilvl="0" w:tplc="8F787E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EFE187B"/>
    <w:multiLevelType w:val="hybridMultilevel"/>
    <w:tmpl w:val="51F2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3"/>
  </w:num>
  <w:num w:numId="3">
    <w:abstractNumId w:val="15"/>
  </w:num>
  <w:num w:numId="4">
    <w:abstractNumId w:val="20"/>
  </w:num>
  <w:num w:numId="5">
    <w:abstractNumId w:val="7"/>
  </w:num>
  <w:num w:numId="6">
    <w:abstractNumId w:val="3"/>
  </w:num>
  <w:num w:numId="7">
    <w:abstractNumId w:val="29"/>
  </w:num>
  <w:num w:numId="8">
    <w:abstractNumId w:val="21"/>
  </w:num>
  <w:num w:numId="9">
    <w:abstractNumId w:val="2"/>
  </w:num>
  <w:num w:numId="10">
    <w:abstractNumId w:val="18"/>
  </w:num>
  <w:num w:numId="11">
    <w:abstractNumId w:val="8"/>
  </w:num>
  <w:num w:numId="12">
    <w:abstractNumId w:val="12"/>
  </w:num>
  <w:num w:numId="13">
    <w:abstractNumId w:val="28"/>
  </w:num>
  <w:num w:numId="14">
    <w:abstractNumId w:val="27"/>
  </w:num>
  <w:num w:numId="15">
    <w:abstractNumId w:val="14"/>
  </w:num>
  <w:num w:numId="16">
    <w:abstractNumId w:val="6"/>
  </w:num>
  <w:num w:numId="17">
    <w:abstractNumId w:val="11"/>
  </w:num>
  <w:num w:numId="18">
    <w:abstractNumId w:val="16"/>
  </w:num>
  <w:num w:numId="19">
    <w:abstractNumId w:val="1"/>
  </w:num>
  <w:num w:numId="20">
    <w:abstractNumId w:val="19"/>
  </w:num>
  <w:num w:numId="21">
    <w:abstractNumId w:val="4"/>
  </w:num>
  <w:num w:numId="22">
    <w:abstractNumId w:val="22"/>
  </w:num>
  <w:num w:numId="23">
    <w:abstractNumId w:val="9"/>
  </w:num>
  <w:num w:numId="24">
    <w:abstractNumId w:val="0"/>
  </w:num>
  <w:num w:numId="25">
    <w:abstractNumId w:val="17"/>
  </w:num>
  <w:num w:numId="26">
    <w:abstractNumId w:val="26"/>
  </w:num>
  <w:num w:numId="27">
    <w:abstractNumId w:val="24"/>
  </w:num>
  <w:num w:numId="28">
    <w:abstractNumId w:val="5"/>
  </w:num>
  <w:num w:numId="29">
    <w:abstractNumId w:val="1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4"/>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A4E"/>
    <w:rsid w:val="000041D2"/>
    <w:rsid w:val="00036EE2"/>
    <w:rsid w:val="0004129E"/>
    <w:rsid w:val="00043816"/>
    <w:rsid w:val="000534F7"/>
    <w:rsid w:val="000539F6"/>
    <w:rsid w:val="00053DEE"/>
    <w:rsid w:val="00060872"/>
    <w:rsid w:val="000624CA"/>
    <w:rsid w:val="00070E28"/>
    <w:rsid w:val="000755C0"/>
    <w:rsid w:val="00083CBD"/>
    <w:rsid w:val="00086D35"/>
    <w:rsid w:val="000953F5"/>
    <w:rsid w:val="000A0EFF"/>
    <w:rsid w:val="000A7728"/>
    <w:rsid w:val="000B2581"/>
    <w:rsid w:val="000C0F73"/>
    <w:rsid w:val="000C37BA"/>
    <w:rsid w:val="000D4E32"/>
    <w:rsid w:val="000F1ACE"/>
    <w:rsid w:val="000F284C"/>
    <w:rsid w:val="001062F2"/>
    <w:rsid w:val="00111E82"/>
    <w:rsid w:val="001276FD"/>
    <w:rsid w:val="00147D48"/>
    <w:rsid w:val="00163DC6"/>
    <w:rsid w:val="00163E97"/>
    <w:rsid w:val="00170494"/>
    <w:rsid w:val="001807F9"/>
    <w:rsid w:val="001868F1"/>
    <w:rsid w:val="001A0AB3"/>
    <w:rsid w:val="001A3082"/>
    <w:rsid w:val="001A35EA"/>
    <w:rsid w:val="001A396F"/>
    <w:rsid w:val="001A4925"/>
    <w:rsid w:val="001B638B"/>
    <w:rsid w:val="001C454C"/>
    <w:rsid w:val="001D1909"/>
    <w:rsid w:val="001D4189"/>
    <w:rsid w:val="001E18DF"/>
    <w:rsid w:val="0020428D"/>
    <w:rsid w:val="002048D9"/>
    <w:rsid w:val="002140B4"/>
    <w:rsid w:val="00221A4C"/>
    <w:rsid w:val="00223EE2"/>
    <w:rsid w:val="002300E9"/>
    <w:rsid w:val="00240391"/>
    <w:rsid w:val="00247157"/>
    <w:rsid w:val="00252974"/>
    <w:rsid w:val="00253429"/>
    <w:rsid w:val="00260052"/>
    <w:rsid w:val="00272DF5"/>
    <w:rsid w:val="00274498"/>
    <w:rsid w:val="00282DF7"/>
    <w:rsid w:val="00292BF5"/>
    <w:rsid w:val="002A0636"/>
    <w:rsid w:val="002A72CA"/>
    <w:rsid w:val="002B37B0"/>
    <w:rsid w:val="002B57DB"/>
    <w:rsid w:val="002B6974"/>
    <w:rsid w:val="002C06B0"/>
    <w:rsid w:val="002C4488"/>
    <w:rsid w:val="002D1488"/>
    <w:rsid w:val="002D41D2"/>
    <w:rsid w:val="002D459B"/>
    <w:rsid w:val="002D6EA3"/>
    <w:rsid w:val="002E297E"/>
    <w:rsid w:val="003063CE"/>
    <w:rsid w:val="00307270"/>
    <w:rsid w:val="00331925"/>
    <w:rsid w:val="00343F39"/>
    <w:rsid w:val="003567B5"/>
    <w:rsid w:val="00382C6B"/>
    <w:rsid w:val="00384C3C"/>
    <w:rsid w:val="003903B6"/>
    <w:rsid w:val="003A6BEE"/>
    <w:rsid w:val="003B2A23"/>
    <w:rsid w:val="003B7C67"/>
    <w:rsid w:val="003D0C43"/>
    <w:rsid w:val="00407579"/>
    <w:rsid w:val="004076E8"/>
    <w:rsid w:val="00412DAD"/>
    <w:rsid w:val="00414165"/>
    <w:rsid w:val="004162C8"/>
    <w:rsid w:val="004324DA"/>
    <w:rsid w:val="00436AA0"/>
    <w:rsid w:val="00442538"/>
    <w:rsid w:val="00463958"/>
    <w:rsid w:val="0047148B"/>
    <w:rsid w:val="00476EB7"/>
    <w:rsid w:val="00482118"/>
    <w:rsid w:val="00484E65"/>
    <w:rsid w:val="004872B5"/>
    <w:rsid w:val="0049242F"/>
    <w:rsid w:val="004924AE"/>
    <w:rsid w:val="00497691"/>
    <w:rsid w:val="004A3935"/>
    <w:rsid w:val="004A59E4"/>
    <w:rsid w:val="004C2236"/>
    <w:rsid w:val="004C2B90"/>
    <w:rsid w:val="004D03ED"/>
    <w:rsid w:val="004F0243"/>
    <w:rsid w:val="004F119C"/>
    <w:rsid w:val="004F7098"/>
    <w:rsid w:val="004F7F17"/>
    <w:rsid w:val="00514B8A"/>
    <w:rsid w:val="00525A53"/>
    <w:rsid w:val="005315CC"/>
    <w:rsid w:val="00533F4C"/>
    <w:rsid w:val="00544162"/>
    <w:rsid w:val="00546FE8"/>
    <w:rsid w:val="00552118"/>
    <w:rsid w:val="00552366"/>
    <w:rsid w:val="005618C7"/>
    <w:rsid w:val="00563C6C"/>
    <w:rsid w:val="00563CF6"/>
    <w:rsid w:val="00584F68"/>
    <w:rsid w:val="0059139D"/>
    <w:rsid w:val="0059262F"/>
    <w:rsid w:val="00596D75"/>
    <w:rsid w:val="005A5276"/>
    <w:rsid w:val="005A789E"/>
    <w:rsid w:val="005B1F38"/>
    <w:rsid w:val="005B471B"/>
    <w:rsid w:val="005B5306"/>
    <w:rsid w:val="005C1DCC"/>
    <w:rsid w:val="005C494E"/>
    <w:rsid w:val="005D15B4"/>
    <w:rsid w:val="005E0633"/>
    <w:rsid w:val="005F764B"/>
    <w:rsid w:val="00604531"/>
    <w:rsid w:val="0061029E"/>
    <w:rsid w:val="00615BC9"/>
    <w:rsid w:val="006251E6"/>
    <w:rsid w:val="00633678"/>
    <w:rsid w:val="00640C6B"/>
    <w:rsid w:val="00654C3A"/>
    <w:rsid w:val="00661765"/>
    <w:rsid w:val="00662A90"/>
    <w:rsid w:val="00672023"/>
    <w:rsid w:val="00672EF9"/>
    <w:rsid w:val="00691641"/>
    <w:rsid w:val="00695C41"/>
    <w:rsid w:val="006A0391"/>
    <w:rsid w:val="006C37EB"/>
    <w:rsid w:val="006C5064"/>
    <w:rsid w:val="006D009A"/>
    <w:rsid w:val="006D2642"/>
    <w:rsid w:val="006E0B52"/>
    <w:rsid w:val="006E57B2"/>
    <w:rsid w:val="006E6262"/>
    <w:rsid w:val="007017D8"/>
    <w:rsid w:val="00702141"/>
    <w:rsid w:val="0070293B"/>
    <w:rsid w:val="007130EF"/>
    <w:rsid w:val="00713E14"/>
    <w:rsid w:val="007414CA"/>
    <w:rsid w:val="00750D92"/>
    <w:rsid w:val="007550CF"/>
    <w:rsid w:val="007609E8"/>
    <w:rsid w:val="00761080"/>
    <w:rsid w:val="007B2D96"/>
    <w:rsid w:val="007B330A"/>
    <w:rsid w:val="007C30FD"/>
    <w:rsid w:val="007C4390"/>
    <w:rsid w:val="007C480B"/>
    <w:rsid w:val="007C7E04"/>
    <w:rsid w:val="007D03EC"/>
    <w:rsid w:val="007D195A"/>
    <w:rsid w:val="007F67FB"/>
    <w:rsid w:val="00812F4D"/>
    <w:rsid w:val="00822617"/>
    <w:rsid w:val="00824068"/>
    <w:rsid w:val="00837D25"/>
    <w:rsid w:val="00841305"/>
    <w:rsid w:val="0085166B"/>
    <w:rsid w:val="008566A7"/>
    <w:rsid w:val="00885B8B"/>
    <w:rsid w:val="008A4348"/>
    <w:rsid w:val="008A4798"/>
    <w:rsid w:val="008B0B6C"/>
    <w:rsid w:val="008B15D9"/>
    <w:rsid w:val="008B6ECA"/>
    <w:rsid w:val="008C11EA"/>
    <w:rsid w:val="008D2674"/>
    <w:rsid w:val="008D62ED"/>
    <w:rsid w:val="008F594F"/>
    <w:rsid w:val="008F5CED"/>
    <w:rsid w:val="008F797A"/>
    <w:rsid w:val="00912B63"/>
    <w:rsid w:val="00913672"/>
    <w:rsid w:val="0092306F"/>
    <w:rsid w:val="00933089"/>
    <w:rsid w:val="00947BF8"/>
    <w:rsid w:val="00950EF8"/>
    <w:rsid w:val="0095701F"/>
    <w:rsid w:val="00961A08"/>
    <w:rsid w:val="00965069"/>
    <w:rsid w:val="00972C78"/>
    <w:rsid w:val="009767A0"/>
    <w:rsid w:val="00981C85"/>
    <w:rsid w:val="009843AE"/>
    <w:rsid w:val="00984C09"/>
    <w:rsid w:val="009855E5"/>
    <w:rsid w:val="0099418A"/>
    <w:rsid w:val="009A2571"/>
    <w:rsid w:val="009A6ED0"/>
    <w:rsid w:val="009B1264"/>
    <w:rsid w:val="009C2A88"/>
    <w:rsid w:val="009D168F"/>
    <w:rsid w:val="009D6749"/>
    <w:rsid w:val="009D7422"/>
    <w:rsid w:val="009E747A"/>
    <w:rsid w:val="009F65A3"/>
    <w:rsid w:val="00A02E79"/>
    <w:rsid w:val="00A14940"/>
    <w:rsid w:val="00A244FD"/>
    <w:rsid w:val="00A273FC"/>
    <w:rsid w:val="00A30E73"/>
    <w:rsid w:val="00A32C53"/>
    <w:rsid w:val="00A360A1"/>
    <w:rsid w:val="00A45F44"/>
    <w:rsid w:val="00A46DA6"/>
    <w:rsid w:val="00A76FBC"/>
    <w:rsid w:val="00A77606"/>
    <w:rsid w:val="00A80D4F"/>
    <w:rsid w:val="00A816EF"/>
    <w:rsid w:val="00A836AE"/>
    <w:rsid w:val="00AA1BB4"/>
    <w:rsid w:val="00AA2FDF"/>
    <w:rsid w:val="00AA3B46"/>
    <w:rsid w:val="00AA5198"/>
    <w:rsid w:val="00AD4153"/>
    <w:rsid w:val="00AE5275"/>
    <w:rsid w:val="00B229FE"/>
    <w:rsid w:val="00B301A7"/>
    <w:rsid w:val="00B40B88"/>
    <w:rsid w:val="00B466B1"/>
    <w:rsid w:val="00B5128C"/>
    <w:rsid w:val="00B90BA7"/>
    <w:rsid w:val="00B939A9"/>
    <w:rsid w:val="00B958AD"/>
    <w:rsid w:val="00B95F59"/>
    <w:rsid w:val="00BA4D91"/>
    <w:rsid w:val="00BA61AC"/>
    <w:rsid w:val="00BC6B98"/>
    <w:rsid w:val="00BF4020"/>
    <w:rsid w:val="00C04E97"/>
    <w:rsid w:val="00C114FE"/>
    <w:rsid w:val="00C132C0"/>
    <w:rsid w:val="00C25A85"/>
    <w:rsid w:val="00C3493D"/>
    <w:rsid w:val="00C353D9"/>
    <w:rsid w:val="00C41774"/>
    <w:rsid w:val="00C53B43"/>
    <w:rsid w:val="00C71656"/>
    <w:rsid w:val="00C90B14"/>
    <w:rsid w:val="00CA75C6"/>
    <w:rsid w:val="00CC128C"/>
    <w:rsid w:val="00CD47D4"/>
    <w:rsid w:val="00CD592F"/>
    <w:rsid w:val="00D00A17"/>
    <w:rsid w:val="00D02254"/>
    <w:rsid w:val="00D05121"/>
    <w:rsid w:val="00D079E3"/>
    <w:rsid w:val="00D14B2C"/>
    <w:rsid w:val="00D31968"/>
    <w:rsid w:val="00D32709"/>
    <w:rsid w:val="00D374CC"/>
    <w:rsid w:val="00D453A8"/>
    <w:rsid w:val="00D534C3"/>
    <w:rsid w:val="00D564FA"/>
    <w:rsid w:val="00D63192"/>
    <w:rsid w:val="00D70A29"/>
    <w:rsid w:val="00D76A61"/>
    <w:rsid w:val="00D8012D"/>
    <w:rsid w:val="00D874D3"/>
    <w:rsid w:val="00DC1ECC"/>
    <w:rsid w:val="00DC21BD"/>
    <w:rsid w:val="00DC6224"/>
    <w:rsid w:val="00DD0DE6"/>
    <w:rsid w:val="00DF0240"/>
    <w:rsid w:val="00DF1DAB"/>
    <w:rsid w:val="00E04CD6"/>
    <w:rsid w:val="00E07DB1"/>
    <w:rsid w:val="00E130C2"/>
    <w:rsid w:val="00E156FE"/>
    <w:rsid w:val="00E234BB"/>
    <w:rsid w:val="00E33985"/>
    <w:rsid w:val="00E45FCB"/>
    <w:rsid w:val="00E51EA7"/>
    <w:rsid w:val="00E567F5"/>
    <w:rsid w:val="00E60A4E"/>
    <w:rsid w:val="00E6377A"/>
    <w:rsid w:val="00E71D21"/>
    <w:rsid w:val="00E77B81"/>
    <w:rsid w:val="00E8370F"/>
    <w:rsid w:val="00E84C11"/>
    <w:rsid w:val="00EA4F41"/>
    <w:rsid w:val="00ED4073"/>
    <w:rsid w:val="00EE6A1F"/>
    <w:rsid w:val="00F145D0"/>
    <w:rsid w:val="00F233AE"/>
    <w:rsid w:val="00F5104A"/>
    <w:rsid w:val="00F51894"/>
    <w:rsid w:val="00F53595"/>
    <w:rsid w:val="00F749DC"/>
    <w:rsid w:val="00F76173"/>
    <w:rsid w:val="00F77FD8"/>
    <w:rsid w:val="00F819B0"/>
    <w:rsid w:val="00F83B84"/>
    <w:rsid w:val="00F90F95"/>
    <w:rsid w:val="00F94028"/>
    <w:rsid w:val="00FA12B1"/>
    <w:rsid w:val="00FA59E9"/>
    <w:rsid w:val="00FA64B8"/>
    <w:rsid w:val="00FA7DF5"/>
    <w:rsid w:val="00FB096A"/>
    <w:rsid w:val="00FB3A25"/>
    <w:rsid w:val="00FC1362"/>
    <w:rsid w:val="00FC638B"/>
    <w:rsid w:val="00FD7CF0"/>
    <w:rsid w:val="00FE7367"/>
    <w:rsid w:val="00FF4651"/>
    <w:rsid w:val="00FF67E5"/>
    <w:rsid w:val="00FF69E7"/>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A212C5F5-25FB-47B6-A82A-064C3088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38B"/>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70293B"/>
    <w:pPr>
      <w:keepNext/>
      <w:keepLines/>
      <w:jc w:val="center"/>
      <w:outlineLvl w:val="0"/>
    </w:pPr>
    <w:rPr>
      <w:rFonts w:eastAsiaTheme="majorEastAsia" w:cstheme="minorHAnsi"/>
      <w:b/>
      <w:sz w:val="32"/>
      <w:szCs w:val="32"/>
    </w:rPr>
  </w:style>
  <w:style w:type="paragraph" w:styleId="Heading2">
    <w:name w:val="heading 2"/>
    <w:basedOn w:val="Normal"/>
    <w:next w:val="Normal"/>
    <w:link w:val="Heading2Char"/>
    <w:autoRedefine/>
    <w:uiPriority w:val="9"/>
    <w:unhideWhenUsed/>
    <w:qFormat/>
    <w:rsid w:val="00060872"/>
    <w:pPr>
      <w:keepNext/>
      <w:keepLines/>
      <w:spacing w:before="240" w:after="40"/>
      <w:outlineLvl w:val="1"/>
    </w:pPr>
    <w:rPr>
      <w:rFonts w:eastAsiaTheme="majorEastAsia" w:cs="Calibri"/>
      <w:b/>
      <w:caps/>
      <w:szCs w:val="26"/>
    </w:rPr>
  </w:style>
  <w:style w:type="paragraph" w:styleId="Heading3">
    <w:name w:val="heading 3"/>
    <w:basedOn w:val="Normal"/>
    <w:next w:val="Normal"/>
    <w:link w:val="Heading3Char"/>
    <w:uiPriority w:val="9"/>
    <w:unhideWhenUsed/>
    <w:qFormat/>
    <w:rsid w:val="00F749D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70293B"/>
    <w:rPr>
      <w:rFonts w:ascii="Calibri" w:eastAsiaTheme="majorEastAsia" w:hAnsi="Calibri" w:cstheme="minorHAnsi"/>
      <w:b/>
      <w:snapToGrid w:val="0"/>
      <w:sz w:val="32"/>
      <w:szCs w:val="32"/>
    </w:rPr>
  </w:style>
  <w:style w:type="character" w:customStyle="1" w:styleId="Heading2Char">
    <w:name w:val="Heading 2 Char"/>
    <w:basedOn w:val="DefaultParagraphFont"/>
    <w:link w:val="Heading2"/>
    <w:uiPriority w:val="9"/>
    <w:rsid w:val="00060872"/>
    <w:rPr>
      <w:rFonts w:ascii="Calibri" w:eastAsiaTheme="majorEastAsia" w:hAnsi="Calibri" w:cs="Calibri"/>
      <w:b/>
      <w:caps/>
      <w:snapToGrid w:val="0"/>
      <w:sz w:val="24"/>
      <w:szCs w:val="26"/>
    </w:rPr>
  </w:style>
  <w:style w:type="character" w:customStyle="1" w:styleId="Heading3Char">
    <w:name w:val="Heading 3 Char"/>
    <w:basedOn w:val="DefaultParagraphFont"/>
    <w:link w:val="Heading3"/>
    <w:uiPriority w:val="9"/>
    <w:rsid w:val="00F749DC"/>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F749DC"/>
    <w:pPr>
      <w:ind w:left="720"/>
      <w:contextualSpacing/>
    </w:pPr>
  </w:style>
  <w:style w:type="character" w:styleId="FollowedHyperlink">
    <w:name w:val="FollowedHyperlink"/>
    <w:basedOn w:val="DefaultParagraphFont"/>
    <w:uiPriority w:val="99"/>
    <w:semiHidden/>
    <w:unhideWhenUsed/>
    <w:rsid w:val="002048D9"/>
    <w:rPr>
      <w:color w:val="800080" w:themeColor="followedHyperlink"/>
      <w:u w:val="single"/>
    </w:rPr>
  </w:style>
  <w:style w:type="paragraph" w:styleId="BodyTextIndent">
    <w:name w:val="Body Text Indent"/>
    <w:basedOn w:val="Normal"/>
    <w:link w:val="BodyTextIndentChar"/>
    <w:uiPriority w:val="99"/>
    <w:semiHidden/>
    <w:unhideWhenUsed/>
    <w:rsid w:val="00950EF8"/>
    <w:pPr>
      <w:spacing w:after="120"/>
      <w:ind w:left="360"/>
    </w:pPr>
  </w:style>
  <w:style w:type="character" w:customStyle="1" w:styleId="BodyTextIndentChar">
    <w:name w:val="Body Text Indent Char"/>
    <w:basedOn w:val="DefaultParagraphFont"/>
    <w:link w:val="BodyTextIndent"/>
    <w:uiPriority w:val="99"/>
    <w:semiHidden/>
    <w:rsid w:val="00950EF8"/>
    <w:rPr>
      <w:rFonts w:ascii="Calibri" w:eastAsia="Times New Roman" w:hAnsi="Calibri" w:cs="Times New Roman"/>
      <w:snapToGrid w:val="0"/>
      <w:sz w:val="24"/>
      <w:szCs w:val="20"/>
    </w:rPr>
  </w:style>
  <w:style w:type="character" w:customStyle="1" w:styleId="SIDEHEADER">
    <w:name w:val="SIDE HEADER"/>
    <w:rsid w:val="001B638B"/>
    <w:rPr>
      <w:rFonts w:ascii="Impact" w:hAnsi="Impact" w:hint="default"/>
      <w:b/>
      <w:bCs w:val="0"/>
      <w:sz w:val="24"/>
    </w:rPr>
  </w:style>
  <w:style w:type="paragraph" w:styleId="Header">
    <w:name w:val="header"/>
    <w:basedOn w:val="Normal"/>
    <w:link w:val="HeaderChar"/>
    <w:uiPriority w:val="99"/>
    <w:unhideWhenUsed/>
    <w:rsid w:val="00A77606"/>
    <w:pPr>
      <w:tabs>
        <w:tab w:val="center" w:pos="4680"/>
        <w:tab w:val="right" w:pos="9360"/>
      </w:tabs>
    </w:pPr>
  </w:style>
  <w:style w:type="character" w:customStyle="1" w:styleId="HeaderChar">
    <w:name w:val="Header Char"/>
    <w:basedOn w:val="DefaultParagraphFont"/>
    <w:link w:val="Header"/>
    <w:uiPriority w:val="99"/>
    <w:rsid w:val="00A77606"/>
    <w:rPr>
      <w:rFonts w:ascii="Calibri" w:eastAsia="Times New Roman" w:hAnsi="Calibri" w:cs="Times New Roman"/>
      <w:snapToGrid w:val="0"/>
      <w:sz w:val="24"/>
      <w:szCs w:val="20"/>
    </w:rPr>
  </w:style>
  <w:style w:type="paragraph" w:styleId="Footer">
    <w:name w:val="footer"/>
    <w:basedOn w:val="Normal"/>
    <w:link w:val="FooterChar"/>
    <w:uiPriority w:val="99"/>
    <w:unhideWhenUsed/>
    <w:rsid w:val="00A77606"/>
    <w:pPr>
      <w:tabs>
        <w:tab w:val="center" w:pos="4680"/>
        <w:tab w:val="right" w:pos="9360"/>
      </w:tabs>
    </w:pPr>
  </w:style>
  <w:style w:type="character" w:customStyle="1" w:styleId="FooterChar">
    <w:name w:val="Footer Char"/>
    <w:basedOn w:val="DefaultParagraphFont"/>
    <w:link w:val="Footer"/>
    <w:uiPriority w:val="99"/>
    <w:rsid w:val="00A77606"/>
    <w:rPr>
      <w:rFonts w:ascii="Calibri" w:eastAsia="Times New Roman" w:hAnsi="Calibri" w:cs="Times New Roman"/>
      <w:snapToGrid w:val="0"/>
      <w:sz w:val="24"/>
      <w:szCs w:val="20"/>
    </w:rPr>
  </w:style>
  <w:style w:type="paragraph" w:customStyle="1" w:styleId="xmsonormal">
    <w:name w:val="x_msonormal"/>
    <w:basedOn w:val="Normal"/>
    <w:rsid w:val="00D05121"/>
    <w:pPr>
      <w:widowControl/>
    </w:pPr>
    <w:rPr>
      <w:rFonts w:eastAsiaTheme="minorHAnsi" w:cs="Calibri"/>
      <w:snapToGrid/>
      <w:sz w:val="22"/>
      <w:szCs w:val="22"/>
    </w:rPr>
  </w:style>
  <w:style w:type="character" w:styleId="UnresolvedMention">
    <w:name w:val="Unresolved Mention"/>
    <w:basedOn w:val="DefaultParagraphFont"/>
    <w:uiPriority w:val="99"/>
    <w:semiHidden/>
    <w:unhideWhenUsed/>
    <w:rsid w:val="00E71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409234388">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436758555">
      <w:bodyDiv w:val="1"/>
      <w:marLeft w:val="0"/>
      <w:marRight w:val="0"/>
      <w:marTop w:val="0"/>
      <w:marBottom w:val="0"/>
      <w:divBdr>
        <w:top w:val="none" w:sz="0" w:space="0" w:color="auto"/>
        <w:left w:val="none" w:sz="0" w:space="0" w:color="auto"/>
        <w:bottom w:val="none" w:sz="0" w:space="0" w:color="auto"/>
        <w:right w:val="none" w:sz="0" w:space="0" w:color="auto"/>
      </w:divBdr>
    </w:div>
    <w:div w:id="437025412">
      <w:bodyDiv w:val="1"/>
      <w:marLeft w:val="0"/>
      <w:marRight w:val="0"/>
      <w:marTop w:val="0"/>
      <w:marBottom w:val="0"/>
      <w:divBdr>
        <w:top w:val="none" w:sz="0" w:space="0" w:color="auto"/>
        <w:left w:val="none" w:sz="0" w:space="0" w:color="auto"/>
        <w:bottom w:val="none" w:sz="0" w:space="0" w:color="auto"/>
        <w:right w:val="none" w:sz="0" w:space="0" w:color="auto"/>
      </w:divBdr>
    </w:div>
    <w:div w:id="496069106">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669479216">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davis@southeasterntech.edu" TargetMode="External"/><Relationship Id="rId13" Type="http://schemas.openxmlformats.org/officeDocument/2006/relationships/hyperlink" Target="mailto:rholton@southeasterntech.edu" TargetMode="External"/><Relationship Id="rId18" Type="http://schemas.openxmlformats.org/officeDocument/2006/relationships/hyperlink" Target="mailto:Stephannie%20Waters" TargetMode="External"/><Relationship Id="rId26" Type="http://schemas.openxmlformats.org/officeDocument/2006/relationships/hyperlink" Target="mailto:hthomas@southeasterntech.edu" TargetMode="External"/><Relationship Id="rId3" Type="http://schemas.openxmlformats.org/officeDocument/2006/relationships/settings" Target="settings.xml"/><Relationship Id="rId21" Type="http://schemas.openxmlformats.org/officeDocument/2006/relationships/hyperlink" Target="mailto:ejarrell@southeasterntech.edu" TargetMode="External"/><Relationship Id="rId34" Type="http://schemas.openxmlformats.org/officeDocument/2006/relationships/hyperlink" Target="http://www.southeasterntech.edu/" TargetMode="External"/><Relationship Id="rId7" Type="http://schemas.openxmlformats.org/officeDocument/2006/relationships/image" Target="media/image1.jpeg"/><Relationship Id="rId12" Type="http://schemas.openxmlformats.org/officeDocument/2006/relationships/hyperlink" Target="mailto:rholton@southeasterntech.edu" TargetMode="External"/><Relationship Id="rId17" Type="http://schemas.openxmlformats.org/officeDocument/2006/relationships/hyperlink" Target="https://www.southeasterntech.edu/covid-19/" TargetMode="External"/><Relationship Id="rId25" Type="http://schemas.openxmlformats.org/officeDocument/2006/relationships/hyperlink" Target="mailto:ejarrell@southeasterntech.edu" TargetMode="External"/><Relationship Id="rId33" Type="http://schemas.openxmlformats.org/officeDocument/2006/relationships/hyperlink" Target="http://www.southeasterntech.edu/" TargetMode="External"/><Relationship Id="rId2" Type="http://schemas.openxmlformats.org/officeDocument/2006/relationships/styles" Target="styles.xml"/><Relationship Id="rId16" Type="http://schemas.openxmlformats.org/officeDocument/2006/relationships/hyperlink" Target="http://tpr.fmcsa.dot.gov/provider" TargetMode="External"/><Relationship Id="rId20" Type="http://schemas.openxmlformats.org/officeDocument/2006/relationships/hyperlink" Target="mailto:Emily%20Jarrell" TargetMode="External"/><Relationship Id="rId29" Type="http://schemas.openxmlformats.org/officeDocument/2006/relationships/hyperlink" Target="mailto:hthomas@southeasterntech.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strange@southeasterntech.edu" TargetMode="External"/><Relationship Id="rId24" Type="http://schemas.openxmlformats.org/officeDocument/2006/relationships/hyperlink" Target="mailto:Emily%20Jarrell" TargetMode="External"/><Relationship Id="rId32" Type="http://schemas.openxmlformats.org/officeDocument/2006/relationships/hyperlink" Target="mailto:ljonas@southeasterntech.edu"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atalog.southeasterntech.edu/" TargetMode="External"/><Relationship Id="rId23" Type="http://schemas.openxmlformats.org/officeDocument/2006/relationships/hyperlink" Target="mailto:hthomas@southeasterntech.edu" TargetMode="External"/><Relationship Id="rId28" Type="http://schemas.openxmlformats.org/officeDocument/2006/relationships/hyperlink" Target="mailto:hthomas@southeasterntech.edu" TargetMode="External"/><Relationship Id="rId36" Type="http://schemas.openxmlformats.org/officeDocument/2006/relationships/fontTable" Target="fontTable.xml"/><Relationship Id="rId10" Type="http://schemas.openxmlformats.org/officeDocument/2006/relationships/hyperlink" Target="mailto:rstrange@southeasterntech.edu" TargetMode="External"/><Relationship Id="rId19" Type="http://schemas.openxmlformats.org/officeDocument/2006/relationships/hyperlink" Target="mailto:swaters@southeasterntech.edu" TargetMode="External"/><Relationship Id="rId31" Type="http://schemas.openxmlformats.org/officeDocument/2006/relationships/hyperlink" Target="mailto:bwilcox@southeasterntech.edu" TargetMode="External"/><Relationship Id="rId4" Type="http://schemas.openxmlformats.org/officeDocument/2006/relationships/webSettings" Target="webSettings.xml"/><Relationship Id="rId9" Type="http://schemas.openxmlformats.org/officeDocument/2006/relationships/hyperlink" Target="mailto:ddavis@southeasterntech.edu" TargetMode="External"/><Relationship Id="rId14" Type="http://schemas.openxmlformats.org/officeDocument/2006/relationships/hyperlink" Target="https://catalog.southeasterntech.edu/" TargetMode="External"/><Relationship Id="rId22" Type="http://schemas.openxmlformats.org/officeDocument/2006/relationships/hyperlink" Target="mailto:hthomas@southeasterntech.edu" TargetMode="External"/><Relationship Id="rId27" Type="http://schemas.openxmlformats.org/officeDocument/2006/relationships/hyperlink" Target="mailto:hthomas@southeasterntech.edu" TargetMode="External"/><Relationship Id="rId30" Type="http://schemas.openxmlformats.org/officeDocument/2006/relationships/hyperlink" Target="mailto:ljonas@southeasterntech.edu"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3556</Words>
  <Characters>20273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Spring 201914_Syllabus</vt:lpstr>
    </vt:vector>
  </TitlesOfParts>
  <Company/>
  <LinksUpToDate>false</LinksUpToDate>
  <CharactersWithSpaces>23782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201914_Syllabus</dc:title>
  <dc:creator>swilson</dc:creator>
  <cp:lastModifiedBy>Ola Smith</cp:lastModifiedBy>
  <cp:revision>2</cp:revision>
  <cp:lastPrinted>2023-01-04T14:35:00Z</cp:lastPrinted>
  <dcterms:created xsi:type="dcterms:W3CDTF">2023-01-04T14:47:00Z</dcterms:created>
  <dcterms:modified xsi:type="dcterms:W3CDTF">2023-01-04T14:47:00Z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b1cc913aba57a6c9ed4dfb69626237e4142c7566d7007789a818b200f3bb9ea1</vt:lpwstr>
  </property>
</Properties>
</file>