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EB" w:rsidRPr="00FE47EB" w:rsidRDefault="00FE47EB" w:rsidP="00FE47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E47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How Screen Readers Read Content</w:t>
      </w:r>
    </w:p>
    <w:p w:rsidR="00FE47EB" w:rsidRPr="00FE47EB" w:rsidRDefault="00FE47EB" w:rsidP="00FE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In general: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pause for: 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periods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semi-colons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commas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question marks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exclamation points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paragraph endings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Screen readers try to pronounce acronyms</w:t>
      </w:r>
      <w:bookmarkStart w:id="0" w:name="_GoBack"/>
      <w:bookmarkEnd w:id="0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, if there are sufficient vowels/consonants to be pronounceable. Otherwise, they spell out the letters. 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NASA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is pronounced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as a word.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SQL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is pronounced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“sequel” even though some humans say “S. Q. L.”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NSF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is pronounced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“N. S. F.”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URL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is pronounced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“U. R. L.”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Users can pause screen readers and go back to repeat a word or passage. They can even have the screen reader read words letter by letter, with the screen reader shouting/emphasizing the uppercase letters.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read letters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out loud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as you type them, but say “star” or “asterisk” for password fields.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announce the page title (the </w:t>
      </w:r>
      <w:r w:rsidRPr="00FE47EB">
        <w:rPr>
          <w:rFonts w:ascii="Courier New" w:eastAsia="Times New Roman" w:hAnsi="Courier New" w:cs="Courier New"/>
          <w:sz w:val="20"/>
          <w:szCs w:val="20"/>
        </w:rPr>
        <w:t>&lt;title&gt;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element in the HTML markup) when first loading a web page.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will read the </w:t>
      </w:r>
      <w:hyperlink r:id="rId5" w:history="1">
        <w:r w:rsidRPr="00FE4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alternative text</w:t>
        </w:r>
      </w:hyperlink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of images, if alt text is present. JAWS precedes the alternative text with the word “graphic.” If the image is a link, JAWS precedes the alternative text with “graphic link."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Screen readers ignore images without alternative text and say nothing, but users can set their preferences to read the file name.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If an image without alternative text is a link, screen readers will generally read the link destination (the </w:t>
      </w:r>
      <w:proofErr w:type="spellStart"/>
      <w:r w:rsidRPr="00FE47EB">
        <w:rPr>
          <w:rFonts w:ascii="Courier New" w:eastAsia="Times New Roman" w:hAnsi="Courier New" w:cs="Courier New"/>
          <w:sz w:val="20"/>
          <w:szCs w:val="20"/>
        </w:rPr>
        <w:t>href</w:t>
      </w:r>
      <w:proofErr w:type="spell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attribute in the HTML markup) or may read the image file name.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announce </w:t>
      </w:r>
      <w:hyperlink r:id="rId6" w:history="1">
        <w:r w:rsidRPr="00FE4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headings and identify the heading level</w:t>
        </w:r>
      </w:hyperlink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. NVDA and JAWS, for example, precede </w:t>
      </w:r>
      <w:r w:rsidRPr="00FE47EB">
        <w:rPr>
          <w:rFonts w:ascii="Courier New" w:eastAsia="Times New Roman" w:hAnsi="Courier New" w:cs="Courier New"/>
          <w:sz w:val="20"/>
          <w:szCs w:val="20"/>
        </w:rPr>
        <w:t>&lt;h1&gt;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headings with “heading level 1.”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Some screen readers announce the number of links on a page as soon as the page finishes loading in the browser.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JAWS says “same page link” if the link destination is on the same page as the link itself and “visited link” for links that have been previously accessed.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in table navigation mode inform the user how many rows and columns are in a </w:t>
      </w:r>
      <w:hyperlink r:id="rId7" w:history="1">
        <w:r w:rsidRPr="00FE4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data table</w:t>
        </w:r>
      </w:hyperlink>
      <w:r w:rsidRPr="00FE47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Users can navigate in any direction from cell to cell in table navigation mode. If the table is marked up correctly, the screen reader will read the column and/or row heading as the user enters each new cell.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Screen readers inform users when they have entered into a form. Users have the option to enter form navigation mode.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can be thrown off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by homographs. For example, the word </w:t>
      </w:r>
      <w:r w:rsidRPr="00FE47EB">
        <w:rPr>
          <w:rFonts w:ascii="Times New Roman" w:eastAsia="Times New Roman" w:hAnsi="Times New Roman" w:cs="Times New Roman"/>
          <w:i/>
          <w:iCs/>
          <w:sz w:val="24"/>
          <w:szCs w:val="24"/>
        </w:rPr>
        <w:t>read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be pronounced “reed” or “red,” depending on the context: “I’m going to read the 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newspaper” vs. “I already read the newspaper.” A sentence such as “I read the newspaper every day” is ambiguous to all readers—humans and screen readers alike. The word </w:t>
      </w:r>
      <w:r w:rsidRPr="00FE47EB">
        <w:rPr>
          <w:rFonts w:ascii="Times New Roman" w:eastAsia="Times New Roman" w:hAnsi="Times New Roman" w:cs="Times New Roman"/>
          <w:i/>
          <w:iCs/>
          <w:sz w:val="24"/>
          <w:szCs w:val="24"/>
        </w:rPr>
        <w:t>content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is another example: “I feel content” (meaning </w:t>
      </w:r>
      <w:r w:rsidRPr="00FE47EB">
        <w:rPr>
          <w:rFonts w:ascii="Times New Roman" w:eastAsia="Times New Roman" w:hAnsi="Times New Roman" w:cs="Times New Roman"/>
          <w:i/>
          <w:iCs/>
          <w:sz w:val="24"/>
          <w:szCs w:val="24"/>
        </w:rPr>
        <w:t>satisfied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>, with the emphasis on the second syllable [con-</w:t>
      </w:r>
      <w:r w:rsidRPr="00FE47EB">
        <w:rPr>
          <w:rFonts w:ascii="Times New Roman" w:eastAsia="Times New Roman" w:hAnsi="Times New Roman" w:cs="Times New Roman"/>
          <w:b/>
          <w:bCs/>
          <w:sz w:val="24"/>
          <w:szCs w:val="24"/>
        </w:rPr>
        <w:t>TENT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]) vs. “WebAIM.org has some really awesome content” (meaning the </w:t>
      </w:r>
      <w:r w:rsidRPr="00FE47EB">
        <w:rPr>
          <w:rFonts w:ascii="Times New Roman" w:eastAsia="Times New Roman" w:hAnsi="Times New Roman" w:cs="Times New Roman"/>
          <w:i/>
          <w:iCs/>
          <w:sz w:val="24"/>
          <w:szCs w:val="24"/>
        </w:rPr>
        <w:t>subject matter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>, with the emphasis on the first syllable [</w:t>
      </w:r>
      <w:r w:rsidRPr="00FE47EB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FE47EB">
        <w:rPr>
          <w:rFonts w:ascii="Times New Roman" w:eastAsia="Times New Roman" w:hAnsi="Times New Roman" w:cs="Times New Roman"/>
          <w:sz w:val="24"/>
          <w:szCs w:val="24"/>
        </w:rPr>
        <w:t>-tent]).</w:t>
      </w:r>
    </w:p>
    <w:p w:rsidR="00FE47EB" w:rsidRPr="00FE47EB" w:rsidRDefault="00FE47EB" w:rsidP="00FE47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Screen readers may or may not read out punctuation, depending on the user’s verbosity setting. Ensure that your intended meaning </w:t>
      </w: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will be conveyed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in either case. To appreciate the value of punctuation, consider these sentences: 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eat, grandpa!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47EB"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gramEnd"/>
      <w:r w:rsidRPr="00FE47EB">
        <w:rPr>
          <w:rFonts w:ascii="Times New Roman" w:eastAsia="Times New Roman" w:hAnsi="Times New Roman" w:cs="Times New Roman"/>
          <w:sz w:val="24"/>
          <w:szCs w:val="24"/>
        </w:rPr>
        <w:t xml:space="preserve"> like to thank my parents, the pope, and Mother Teresa.</w:t>
      </w:r>
    </w:p>
    <w:p w:rsidR="00FE47EB" w:rsidRPr="00FE47EB" w:rsidRDefault="00FE47EB" w:rsidP="00FE47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EB">
        <w:rPr>
          <w:rFonts w:ascii="Times New Roman" w:eastAsia="Times New Roman" w:hAnsi="Times New Roman" w:cs="Times New Roman"/>
          <w:sz w:val="24"/>
          <w:szCs w:val="24"/>
        </w:rPr>
        <w:t>He finds inspiration in cooking, his children, and his cat.</w:t>
      </w:r>
    </w:p>
    <w:p w:rsidR="007F3E03" w:rsidRPr="00FE47EB" w:rsidRDefault="007F3E03" w:rsidP="00FE47EB"/>
    <w:sectPr w:rsidR="007F3E03" w:rsidRPr="00FE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114"/>
    <w:multiLevelType w:val="multilevel"/>
    <w:tmpl w:val="B99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B"/>
    <w:rsid w:val="007F3E03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97F4-3968-4278-ADE2-E007CB3B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7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E47E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47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47EB"/>
    <w:rPr>
      <w:i/>
      <w:iCs/>
    </w:rPr>
  </w:style>
  <w:style w:type="character" w:styleId="Strong">
    <w:name w:val="Strong"/>
    <w:basedOn w:val="DefaultParagraphFont"/>
    <w:uiPriority w:val="22"/>
    <w:qFormat/>
    <w:rsid w:val="00FE47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aim.org/techniques/tables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im.org/techniques/semanticstructure/" TargetMode="External"/><Relationship Id="rId5" Type="http://schemas.openxmlformats.org/officeDocument/2006/relationships/hyperlink" Target="http://webaim.org/techniques/alttex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Robison</dc:creator>
  <cp:keywords/>
  <dc:description/>
  <cp:lastModifiedBy>Gina Robison</cp:lastModifiedBy>
  <cp:revision>1</cp:revision>
  <cp:lastPrinted>2017-07-15T17:36:00Z</cp:lastPrinted>
  <dcterms:created xsi:type="dcterms:W3CDTF">2017-07-15T17:35:00Z</dcterms:created>
  <dcterms:modified xsi:type="dcterms:W3CDTF">2017-07-15T17:36:00Z</dcterms:modified>
</cp:coreProperties>
</file>